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F8" w:rsidRDefault="001E6D6A" w:rsidP="0052681F">
      <w:pPr>
        <w:spacing w:line="360" w:lineRule="auto"/>
        <w:rPr>
          <w:rFonts w:ascii="Times New Roman" w:hAnsi="Times New Roman"/>
          <w:szCs w:val="22"/>
        </w:rPr>
      </w:pPr>
      <w:r w:rsidRPr="0052681F">
        <w:rPr>
          <w:rFonts w:ascii="Times New Roman" w:hAnsi="Times New Roman"/>
          <w:szCs w:val="22"/>
        </w:rPr>
        <w:t>Catering for di</w:t>
      </w:r>
      <w:r w:rsidR="00E73DF8">
        <w:rPr>
          <w:rFonts w:ascii="Times New Roman" w:hAnsi="Times New Roman"/>
          <w:szCs w:val="22"/>
        </w:rPr>
        <w:t>versity through differentiation.</w:t>
      </w:r>
    </w:p>
    <w:p w:rsidR="001E6D6A" w:rsidRPr="0052681F" w:rsidRDefault="001E6D6A" w:rsidP="0052681F">
      <w:pPr>
        <w:spacing w:line="360" w:lineRule="auto"/>
        <w:rPr>
          <w:rFonts w:ascii="Times New Roman" w:hAnsi="Times New Roman"/>
          <w:szCs w:val="22"/>
        </w:rPr>
      </w:pPr>
    </w:p>
    <w:p w:rsidR="003772D9" w:rsidRDefault="00F947A5" w:rsidP="0052681F">
      <w:pPr>
        <w:spacing w:line="360" w:lineRule="auto"/>
        <w:rPr>
          <w:rFonts w:ascii="Times New Roman" w:hAnsi="Times New Roman"/>
          <w:szCs w:val="22"/>
        </w:rPr>
      </w:pPr>
      <w:r w:rsidRPr="0052681F">
        <w:rPr>
          <w:rFonts w:ascii="Times New Roman" w:hAnsi="Times New Roman"/>
          <w:szCs w:val="22"/>
        </w:rPr>
        <w:fldChar w:fldCharType="begin"/>
      </w:r>
      <w:r w:rsidR="0003703C" w:rsidRPr="0052681F">
        <w:rPr>
          <w:rFonts w:ascii="Times New Roman" w:hAnsi="Times New Roman"/>
          <w:szCs w:val="22"/>
        </w:rPr>
        <w:instrText xml:space="preserve"> ADDIN EN.CITE &lt;EndNote&gt;&lt;Cite&gt;&lt;Author&gt;Anderson&lt;/Author&gt;&lt;Year&gt;2007&lt;/Year&gt;&lt;IDText&gt;Tips for Teaching: Differentiating Instruction to Include All Students&lt;/IDText&gt;&lt;DisplayText&gt;(Anderson, 2007)&lt;/DisplayText&gt;&lt;record&gt;&lt;dates&gt;&lt;pub-dates&gt;&lt;date&gt;Spring2007&lt;/date&gt;&lt;/pub-dates&gt;&lt;year&gt;2007&lt;/year&gt;&lt;/dates&gt;&lt;keywords&gt;&lt;/keywords&gt;&lt;urls&gt;&lt;related-urls&gt;&lt;url&gt;http://ezproxy.usq.edu.au/login?url=http://search.ebscohost.com/login.aspx?direct=true&amp;amp;db=ehh&amp;amp;AN=24944365&amp;amp;site=ehost-live&lt;/url&gt;&lt;/related-urls&gt;&lt;/urls&gt;&lt;isbn&gt;1045988X&lt;/isbn&gt;&lt;work-type&gt;Article&lt;/work-type&gt;&lt;titles&gt;&lt;title&gt;Tips for Teaching: Differentiating Instruction to Include All Students&lt;/title&gt;&lt;secondary-title&gt;Preventing School Failure&lt;/secondary-title&gt;&lt;/titles&gt;&lt;pages&gt;49-54&lt;/pages&gt;&lt;number&gt;3&lt;/number&gt;&lt;contributors&gt;&lt;authors&gt;&lt;author&gt;Anderson, Kelly M.&lt;/author&gt;&lt;/authors&gt;&lt;/contributors&gt;&lt;added-date format="utc"&gt;1406520319&lt;/added-date&gt;&lt;ref-type name="Journal Article"&gt;17&lt;/ref-type&gt;&lt;remote-database-provider&gt;EBSCOhost&lt;/remote-database-provider&gt;&lt;rec-number&gt;78&lt;/rec-number&gt;&lt;publisher&gt;Taylor &amp;amp; Francis Ltd&lt;/publisher&gt;&lt;last-updated-date format="utc"&gt;1406520805&lt;/last-updated-date&gt;&lt;accession-num&gt;24944365&lt;/accession-num&gt;&lt;volume&gt;51&lt;/volume&gt;&lt;remote-database-name&gt;ehh&lt;/remote-database-name&gt;&lt;/record&gt;&lt;/Cite&gt;&lt;/EndNote&gt;</w:instrText>
      </w:r>
      <w:r w:rsidRPr="0052681F">
        <w:rPr>
          <w:rFonts w:ascii="Times New Roman" w:hAnsi="Times New Roman"/>
          <w:szCs w:val="22"/>
        </w:rPr>
        <w:fldChar w:fldCharType="separate"/>
      </w:r>
      <w:r w:rsidR="0003703C" w:rsidRPr="0052681F">
        <w:rPr>
          <w:rFonts w:ascii="Times New Roman" w:hAnsi="Times New Roman"/>
          <w:szCs w:val="22"/>
        </w:rPr>
        <w:t xml:space="preserve">According to </w:t>
      </w:r>
      <w:r w:rsidR="0003703C" w:rsidRPr="0052681F">
        <w:rPr>
          <w:rFonts w:ascii="Times New Roman" w:hAnsi="Times New Roman"/>
          <w:noProof/>
          <w:szCs w:val="22"/>
        </w:rPr>
        <w:t>Anderson (2007)</w:t>
      </w:r>
      <w:r w:rsidRPr="0052681F">
        <w:rPr>
          <w:rFonts w:ascii="Times New Roman" w:hAnsi="Times New Roman"/>
          <w:szCs w:val="22"/>
        </w:rPr>
        <w:fldChar w:fldCharType="end"/>
      </w:r>
      <w:r w:rsidR="0003703C" w:rsidRPr="0052681F">
        <w:rPr>
          <w:rFonts w:ascii="Times New Roman" w:hAnsi="Times New Roman"/>
          <w:szCs w:val="22"/>
        </w:rPr>
        <w:t xml:space="preserve"> Differentiated instruction stems from the beliefs about differences among learners, how students learn, differences in learning preferences and individual interests.</w:t>
      </w:r>
      <w:r w:rsidR="0003703C">
        <w:rPr>
          <w:rFonts w:ascii="Times New Roman" w:hAnsi="Times New Roman"/>
          <w:szCs w:val="22"/>
        </w:rPr>
        <w:t xml:space="preserve"> </w:t>
      </w:r>
      <w:r w:rsidR="00E73DF8">
        <w:rPr>
          <w:rFonts w:ascii="Times New Roman" w:hAnsi="Times New Roman"/>
          <w:szCs w:val="22"/>
        </w:rPr>
        <w:t>A</w:t>
      </w:r>
      <w:r w:rsidR="00E66042" w:rsidRPr="0052681F">
        <w:rPr>
          <w:rFonts w:ascii="Times New Roman" w:hAnsi="Times New Roman"/>
          <w:szCs w:val="22"/>
        </w:rPr>
        <w:t xml:space="preserve">ccording to Arthur and Cremin (2010) catering for diversity involves looking at the qualities and potential of different learners and also at the support provided to build on that potential. </w:t>
      </w:r>
      <w:r w:rsidR="00661322" w:rsidRPr="0052681F">
        <w:rPr>
          <w:rFonts w:ascii="Times New Roman" w:hAnsi="Times New Roman"/>
          <w:szCs w:val="22"/>
        </w:rPr>
        <w:t xml:space="preserve">Catering for the diversity of the learners in the classroom commences with what the student can already do and what the student already knows </w:t>
      </w:r>
      <w:r w:rsidR="006250EE" w:rsidRPr="0052681F">
        <w:rPr>
          <w:rFonts w:ascii="Times New Roman" w:hAnsi="Times New Roman"/>
          <w:szCs w:val="22"/>
        </w:rPr>
        <w:t xml:space="preserve">DETE </w:t>
      </w:r>
      <w:r w:rsidR="00661322" w:rsidRPr="0052681F">
        <w:rPr>
          <w:rFonts w:ascii="Times New Roman" w:hAnsi="Times New Roman"/>
          <w:szCs w:val="22"/>
        </w:rPr>
        <w:t xml:space="preserve">(Department of Education and Training, 2011). </w:t>
      </w:r>
      <w:r w:rsidR="00FC7FD2" w:rsidRPr="0052681F">
        <w:rPr>
          <w:rFonts w:ascii="Times New Roman" w:hAnsi="Times New Roman"/>
          <w:szCs w:val="22"/>
        </w:rPr>
        <w:t xml:space="preserve">Loveridge, Rosewarne, Shuker, Barker and Nager (2012) make the point that diversity is about knowing and understanding the individual and adapting your response to them. </w:t>
      </w:r>
      <w:r w:rsidR="0030620C" w:rsidRPr="0052681F">
        <w:rPr>
          <w:rFonts w:ascii="Times New Roman" w:hAnsi="Times New Roman"/>
          <w:szCs w:val="22"/>
        </w:rPr>
        <w:t xml:space="preserve">After identifying the range of learners Arthur and Cremin (2010) believe that the educator should </w:t>
      </w:r>
      <w:r w:rsidR="00B718AA" w:rsidRPr="0052681F">
        <w:rPr>
          <w:rFonts w:ascii="Times New Roman" w:hAnsi="Times New Roman"/>
          <w:szCs w:val="22"/>
        </w:rPr>
        <w:t xml:space="preserve">seek to elaborate on the </w:t>
      </w:r>
      <w:r w:rsidR="00A70F4C" w:rsidRPr="0052681F">
        <w:rPr>
          <w:rFonts w:ascii="Times New Roman" w:hAnsi="Times New Roman"/>
          <w:szCs w:val="22"/>
        </w:rPr>
        <w:t>circumstance</w:t>
      </w:r>
      <w:r w:rsidR="00B718AA" w:rsidRPr="0052681F">
        <w:rPr>
          <w:rFonts w:ascii="Times New Roman" w:hAnsi="Times New Roman"/>
          <w:szCs w:val="22"/>
        </w:rPr>
        <w:t xml:space="preserve"> and </w:t>
      </w:r>
      <w:r w:rsidR="00A70F4C" w:rsidRPr="0052681F">
        <w:rPr>
          <w:rFonts w:ascii="Times New Roman" w:hAnsi="Times New Roman"/>
          <w:szCs w:val="22"/>
        </w:rPr>
        <w:t>prospect</w:t>
      </w:r>
      <w:r w:rsidR="00B718AA" w:rsidRPr="0052681F">
        <w:rPr>
          <w:rFonts w:ascii="Times New Roman" w:hAnsi="Times New Roman"/>
          <w:szCs w:val="22"/>
        </w:rPr>
        <w:t xml:space="preserve"> for learning, which may be successful and effective</w:t>
      </w:r>
      <w:r w:rsidR="006250EE" w:rsidRPr="0052681F">
        <w:rPr>
          <w:rFonts w:ascii="Times New Roman" w:hAnsi="Times New Roman"/>
          <w:szCs w:val="22"/>
        </w:rPr>
        <w:t xml:space="preserve"> </w:t>
      </w:r>
    </w:p>
    <w:p w:rsidR="008B0FCB" w:rsidRPr="0052681F" w:rsidRDefault="006250EE" w:rsidP="0052681F">
      <w:pPr>
        <w:spacing w:line="360" w:lineRule="auto"/>
        <w:rPr>
          <w:rFonts w:ascii="Times New Roman" w:hAnsi="Times New Roman"/>
          <w:szCs w:val="22"/>
        </w:rPr>
      </w:pPr>
      <w:r w:rsidRPr="0052681F">
        <w:rPr>
          <w:rFonts w:ascii="Times New Roman" w:hAnsi="Times New Roman"/>
          <w:szCs w:val="22"/>
        </w:rPr>
        <w:t xml:space="preserve">These </w:t>
      </w:r>
      <w:r w:rsidR="00A70F4C" w:rsidRPr="0052681F">
        <w:rPr>
          <w:rFonts w:ascii="Times New Roman" w:hAnsi="Times New Roman"/>
          <w:szCs w:val="22"/>
        </w:rPr>
        <w:t>context</w:t>
      </w:r>
      <w:r w:rsidR="001B3B2A" w:rsidRPr="0052681F">
        <w:rPr>
          <w:rFonts w:ascii="Times New Roman" w:hAnsi="Times New Roman"/>
          <w:szCs w:val="22"/>
        </w:rPr>
        <w:t>s</w:t>
      </w:r>
      <w:r w:rsidR="00A70F4C" w:rsidRPr="0052681F">
        <w:rPr>
          <w:rFonts w:ascii="Times New Roman" w:hAnsi="Times New Roman"/>
          <w:szCs w:val="22"/>
        </w:rPr>
        <w:t xml:space="preserve"> and opportunities for learning</w:t>
      </w:r>
      <w:r w:rsidR="001B3B2A" w:rsidRPr="0052681F">
        <w:rPr>
          <w:rFonts w:ascii="Times New Roman" w:hAnsi="Times New Roman"/>
          <w:szCs w:val="22"/>
        </w:rPr>
        <w:t xml:space="preserve"> may encompass but </w:t>
      </w:r>
      <w:r w:rsidR="00217B7D">
        <w:rPr>
          <w:rFonts w:ascii="Times New Roman" w:hAnsi="Times New Roman"/>
          <w:szCs w:val="22"/>
        </w:rPr>
        <w:t>are not limited to home, school or</w:t>
      </w:r>
      <w:r w:rsidR="001B3B2A" w:rsidRPr="0052681F">
        <w:rPr>
          <w:rFonts w:ascii="Times New Roman" w:hAnsi="Times New Roman"/>
          <w:szCs w:val="22"/>
        </w:rPr>
        <w:t xml:space="preserve"> the physical setting of the learning environment. </w:t>
      </w:r>
      <w:r w:rsidR="003C3C6D" w:rsidRPr="0052681F">
        <w:rPr>
          <w:rFonts w:ascii="Times New Roman" w:hAnsi="Times New Roman"/>
          <w:szCs w:val="22"/>
        </w:rPr>
        <w:t xml:space="preserve">Kelly and Lyons </w:t>
      </w:r>
      <w:r w:rsidR="00D866D7" w:rsidRPr="0052681F">
        <w:rPr>
          <w:rFonts w:ascii="Times New Roman" w:hAnsi="Times New Roman"/>
          <w:szCs w:val="22"/>
        </w:rPr>
        <w:t>(2011) (</w:t>
      </w:r>
      <w:r w:rsidR="003C3C6D" w:rsidRPr="0052681F">
        <w:rPr>
          <w:rFonts w:ascii="Times New Roman" w:hAnsi="Times New Roman"/>
          <w:szCs w:val="22"/>
        </w:rPr>
        <w:t xml:space="preserve">as cited in </w:t>
      </w:r>
      <w:r w:rsidR="00D866D7" w:rsidRPr="0052681F">
        <w:rPr>
          <w:rFonts w:ascii="Times New Roman" w:hAnsi="Times New Roman"/>
          <w:szCs w:val="22"/>
        </w:rPr>
        <w:t xml:space="preserve">Foreman, </w:t>
      </w:r>
      <w:r w:rsidR="008976AC" w:rsidRPr="0052681F">
        <w:rPr>
          <w:rFonts w:ascii="Times New Roman" w:hAnsi="Times New Roman"/>
          <w:szCs w:val="22"/>
        </w:rPr>
        <w:t xml:space="preserve">2011) </w:t>
      </w:r>
      <w:r w:rsidR="003C3C6D" w:rsidRPr="0052681F">
        <w:rPr>
          <w:rFonts w:ascii="Times New Roman" w:hAnsi="Times New Roman"/>
          <w:szCs w:val="22"/>
        </w:rPr>
        <w:t>appear to agree with the view that the students home life, parents and teachers as well as the students own level of functioning</w:t>
      </w:r>
      <w:r w:rsidR="008976AC" w:rsidRPr="0052681F">
        <w:rPr>
          <w:rFonts w:ascii="Times New Roman" w:hAnsi="Times New Roman"/>
          <w:szCs w:val="22"/>
        </w:rPr>
        <w:t xml:space="preserve"> </w:t>
      </w:r>
      <w:r w:rsidR="003C3C6D" w:rsidRPr="0052681F">
        <w:rPr>
          <w:rFonts w:ascii="Times New Roman" w:hAnsi="Times New Roman"/>
          <w:szCs w:val="22"/>
        </w:rPr>
        <w:t xml:space="preserve">all have an influence on student learning. </w:t>
      </w:r>
      <w:r w:rsidR="00E60735" w:rsidRPr="0052681F">
        <w:rPr>
          <w:rFonts w:ascii="Times New Roman" w:hAnsi="Times New Roman"/>
          <w:szCs w:val="22"/>
        </w:rPr>
        <w:t>Kelly and Lyon</w:t>
      </w:r>
      <w:r w:rsidR="00D866D7" w:rsidRPr="0052681F">
        <w:rPr>
          <w:rFonts w:ascii="Times New Roman" w:hAnsi="Times New Roman"/>
          <w:szCs w:val="22"/>
        </w:rPr>
        <w:t>s as cited in Foreman (2011</w:t>
      </w:r>
      <w:r w:rsidR="00E60735" w:rsidRPr="0052681F">
        <w:rPr>
          <w:rFonts w:ascii="Times New Roman" w:hAnsi="Times New Roman"/>
          <w:szCs w:val="22"/>
        </w:rPr>
        <w:t xml:space="preserve">) further point out that although most students will meet syllabus expectations some learners will need some type of variation to meet the syllabus expectations and </w:t>
      </w:r>
      <w:r w:rsidR="00D866D7" w:rsidRPr="0052681F">
        <w:rPr>
          <w:rFonts w:ascii="Times New Roman" w:hAnsi="Times New Roman"/>
          <w:szCs w:val="22"/>
        </w:rPr>
        <w:t xml:space="preserve">it is this diversity which the </w:t>
      </w:r>
      <w:r w:rsidR="00E60735" w:rsidRPr="0052681F">
        <w:rPr>
          <w:rFonts w:ascii="Times New Roman" w:hAnsi="Times New Roman"/>
          <w:szCs w:val="22"/>
        </w:rPr>
        <w:t xml:space="preserve">teacher needs to accommodate to meet the needs of the learners. </w:t>
      </w:r>
      <w:r w:rsidR="009161E0">
        <w:rPr>
          <w:rFonts w:ascii="Times New Roman" w:hAnsi="Times New Roman"/>
          <w:szCs w:val="22"/>
        </w:rPr>
        <w:t>Within the con</w:t>
      </w:r>
      <w:r w:rsidR="00DC4EBC">
        <w:rPr>
          <w:rFonts w:ascii="Times New Roman" w:hAnsi="Times New Roman"/>
          <w:szCs w:val="22"/>
        </w:rPr>
        <w:t xml:space="preserve">text of </w:t>
      </w:r>
      <w:r w:rsidR="009161E0">
        <w:rPr>
          <w:rFonts w:ascii="Times New Roman" w:hAnsi="Times New Roman"/>
          <w:szCs w:val="22"/>
        </w:rPr>
        <w:t>my practicum placement there was one learner</w:t>
      </w:r>
      <w:r w:rsidR="00217B7D">
        <w:rPr>
          <w:rFonts w:ascii="Times New Roman" w:hAnsi="Times New Roman"/>
          <w:szCs w:val="22"/>
        </w:rPr>
        <w:t>,</w:t>
      </w:r>
      <w:r w:rsidR="009161E0">
        <w:rPr>
          <w:rFonts w:ascii="Times New Roman" w:hAnsi="Times New Roman"/>
          <w:szCs w:val="22"/>
        </w:rPr>
        <w:t xml:space="preserve"> which required extensive differentiation as he was </w:t>
      </w:r>
      <w:r w:rsidR="009161E0" w:rsidRPr="0052681F">
        <w:rPr>
          <w:rFonts w:ascii="Times New Roman" w:hAnsi="Times New Roman"/>
          <w:szCs w:val="22"/>
        </w:rPr>
        <w:t>working at a year one level</w:t>
      </w:r>
      <w:r w:rsidR="009161E0">
        <w:rPr>
          <w:rFonts w:ascii="Times New Roman" w:hAnsi="Times New Roman"/>
          <w:szCs w:val="22"/>
        </w:rPr>
        <w:t>. I attempted to differentiate in respect of this learner however he was usually tasked by the classroom teacher to work wit</w:t>
      </w:r>
      <w:r w:rsidR="00DC4EBC">
        <w:rPr>
          <w:rFonts w:ascii="Times New Roman" w:hAnsi="Times New Roman"/>
          <w:szCs w:val="22"/>
        </w:rPr>
        <w:t xml:space="preserve">h </w:t>
      </w:r>
      <w:r w:rsidR="009161E0" w:rsidRPr="0052681F">
        <w:rPr>
          <w:rFonts w:ascii="Times New Roman" w:hAnsi="Times New Roman"/>
          <w:szCs w:val="22"/>
        </w:rPr>
        <w:t xml:space="preserve">the teacher aide for a majority of the learning time. This student did not miss out on the lessons but did have difficulty completing the various task sheets due to attention deficiencies so therefore this student was </w:t>
      </w:r>
      <w:r w:rsidR="00217B7D">
        <w:rPr>
          <w:rFonts w:ascii="Times New Roman" w:hAnsi="Times New Roman"/>
          <w:szCs w:val="22"/>
        </w:rPr>
        <w:t>given the opportunity</w:t>
      </w:r>
      <w:r w:rsidR="009161E0" w:rsidRPr="0052681F">
        <w:rPr>
          <w:rFonts w:ascii="Times New Roman" w:hAnsi="Times New Roman"/>
          <w:szCs w:val="22"/>
        </w:rPr>
        <w:t xml:space="preserve"> to demonstrate his learning with extra time or support from the teacher aide.</w:t>
      </w:r>
      <w:r w:rsidR="00DC4EBC">
        <w:rPr>
          <w:rFonts w:ascii="Times New Roman" w:hAnsi="Times New Roman"/>
          <w:szCs w:val="22"/>
        </w:rPr>
        <w:t xml:space="preserve"> Any work I differentiated for him in the subject area of maths </w:t>
      </w:r>
      <w:r w:rsidR="00217B7D">
        <w:rPr>
          <w:rFonts w:ascii="Times New Roman" w:hAnsi="Times New Roman"/>
          <w:szCs w:val="22"/>
        </w:rPr>
        <w:t xml:space="preserve">(specifically units of measurement) </w:t>
      </w:r>
      <w:r w:rsidR="00DC4EBC">
        <w:rPr>
          <w:rFonts w:ascii="Times New Roman" w:hAnsi="Times New Roman"/>
          <w:szCs w:val="22"/>
        </w:rPr>
        <w:t xml:space="preserve">was usually too difficult for him according to the classroom teacher. I would need to approach this learner and others alike by conducting more extensive pre testing to more accurately gauge their level of learning. </w:t>
      </w:r>
    </w:p>
    <w:p w:rsidR="00322C81" w:rsidRPr="0052681F" w:rsidRDefault="0030620C" w:rsidP="0052681F">
      <w:pPr>
        <w:spacing w:line="360" w:lineRule="auto"/>
        <w:rPr>
          <w:rFonts w:ascii="Times New Roman" w:hAnsi="Times New Roman"/>
          <w:szCs w:val="22"/>
        </w:rPr>
      </w:pPr>
      <w:r w:rsidRPr="0052681F">
        <w:rPr>
          <w:rFonts w:ascii="Times New Roman" w:hAnsi="Times New Roman"/>
          <w:szCs w:val="22"/>
        </w:rPr>
        <w:t xml:space="preserve">Catering for diversity should start before the teacher or learners walk into the classroom. </w:t>
      </w:r>
      <w:r w:rsidR="008B0FCB" w:rsidRPr="0052681F">
        <w:rPr>
          <w:rFonts w:ascii="Times New Roman" w:hAnsi="Times New Roman"/>
          <w:szCs w:val="22"/>
        </w:rPr>
        <w:t xml:space="preserve">Arthur and Cremin (2010, p. 282) believe that an excellent place to start when planning to cater for diversity is for the teacher to ask themselves; "What messages does the classroom give about the status or value given to the diversity of the pupils"? </w:t>
      </w:r>
      <w:r w:rsidR="00134755" w:rsidRPr="0052681F">
        <w:rPr>
          <w:rFonts w:ascii="Times New Roman" w:hAnsi="Times New Roman"/>
          <w:szCs w:val="22"/>
        </w:rPr>
        <w:t xml:space="preserve">Arthur and Cremin (2010) also expect the teacher consider how the whole of school approaches differentiation and diversity. </w:t>
      </w:r>
      <w:r w:rsidR="00157EC5" w:rsidRPr="0052681F">
        <w:rPr>
          <w:rFonts w:ascii="Times New Roman" w:hAnsi="Times New Roman"/>
          <w:szCs w:val="22"/>
        </w:rPr>
        <w:t>For instance, are the visual learners catered for, is there freedom of movement within the classroom</w:t>
      </w:r>
      <w:r w:rsidR="00134755" w:rsidRPr="0052681F">
        <w:rPr>
          <w:rFonts w:ascii="Times New Roman" w:hAnsi="Times New Roman"/>
          <w:szCs w:val="22"/>
        </w:rPr>
        <w:t xml:space="preserve"> and school grounds and </w:t>
      </w:r>
      <w:r w:rsidR="00157EC5" w:rsidRPr="0052681F">
        <w:rPr>
          <w:rFonts w:ascii="Times New Roman" w:hAnsi="Times New Roman"/>
          <w:szCs w:val="22"/>
        </w:rPr>
        <w:t xml:space="preserve">does the school on the whole have a place in the classroom? </w:t>
      </w:r>
      <w:r w:rsidR="00386C6D">
        <w:rPr>
          <w:rFonts w:ascii="Times New Roman" w:hAnsi="Times New Roman"/>
          <w:szCs w:val="22"/>
        </w:rPr>
        <w:t xml:space="preserve">The </w:t>
      </w:r>
      <w:r w:rsidR="00E73DF8">
        <w:rPr>
          <w:rFonts w:ascii="Times New Roman" w:hAnsi="Times New Roman"/>
          <w:szCs w:val="22"/>
        </w:rPr>
        <w:t>teacher grouped the learners</w:t>
      </w:r>
      <w:r w:rsidR="00D10B5D">
        <w:rPr>
          <w:rFonts w:ascii="Times New Roman" w:hAnsi="Times New Roman"/>
          <w:szCs w:val="22"/>
        </w:rPr>
        <w:t xml:space="preserve"> and I maintained this grouping as </w:t>
      </w:r>
      <w:r w:rsidR="00386C6D">
        <w:rPr>
          <w:rFonts w:ascii="Times New Roman" w:hAnsi="Times New Roman"/>
          <w:szCs w:val="22"/>
        </w:rPr>
        <w:t>I taught lessons. The room set out provided ease of access to all who were a part of the learning. Given that my mentor required me to introduce ne</w:t>
      </w:r>
      <w:r w:rsidR="0089713F">
        <w:rPr>
          <w:rFonts w:ascii="Times New Roman" w:hAnsi="Times New Roman"/>
          <w:szCs w:val="22"/>
        </w:rPr>
        <w:t xml:space="preserve">w concepts she suggested that differentiation was not practical at this point and that after the concepts were embedded she </w:t>
      </w:r>
      <w:r w:rsidR="00E73DF8">
        <w:rPr>
          <w:rFonts w:ascii="Times New Roman" w:hAnsi="Times New Roman"/>
          <w:szCs w:val="22"/>
        </w:rPr>
        <w:t xml:space="preserve">would set about differentiating, in particular their assessments </w:t>
      </w:r>
      <w:r w:rsidR="0089713F">
        <w:rPr>
          <w:rFonts w:ascii="Times New Roman" w:hAnsi="Times New Roman"/>
          <w:szCs w:val="22"/>
        </w:rPr>
        <w:t xml:space="preserve">after my prac was over. I was able to differentiate in other KLA' s through the use of visual aids, ICT's and differentiated worksheets. </w:t>
      </w:r>
    </w:p>
    <w:p w:rsidR="00C479FB" w:rsidRPr="0052681F" w:rsidRDefault="00E66042" w:rsidP="0052681F">
      <w:pPr>
        <w:spacing w:line="360" w:lineRule="auto"/>
        <w:rPr>
          <w:rFonts w:ascii="Times New Roman" w:hAnsi="Times New Roman"/>
          <w:szCs w:val="22"/>
        </w:rPr>
      </w:pPr>
      <w:r w:rsidRPr="0052681F">
        <w:rPr>
          <w:rFonts w:ascii="Times New Roman" w:hAnsi="Times New Roman"/>
          <w:szCs w:val="22"/>
        </w:rPr>
        <w:t xml:space="preserve">The unit of work being considered in this document is focused on the KLA, Mathematics in a mixed classroom consisting of eight year two and seventeen year three students. The majority of students refer to English as their second language and according to the classroom teacher this cohort of learners encompasses the high achieving year two students and the low achieving year three learners. However the student profile composed by me suggests that there are actually some high achieving year three learners, some mid range year two learners and one particularly low achieving learner whom the classroom teacher describes as working at a year one level. No student had difficulty communicating his or her responses in a written format. </w:t>
      </w:r>
    </w:p>
    <w:p w:rsidR="00E66042" w:rsidRPr="0052681F" w:rsidRDefault="001251EC" w:rsidP="0052681F">
      <w:pPr>
        <w:spacing w:line="360" w:lineRule="auto"/>
        <w:rPr>
          <w:rFonts w:ascii="Times New Roman" w:hAnsi="Times New Roman"/>
          <w:szCs w:val="22"/>
        </w:rPr>
      </w:pPr>
      <w:r w:rsidRPr="0052681F">
        <w:rPr>
          <w:rFonts w:ascii="Times New Roman" w:hAnsi="Times New Roman"/>
          <w:szCs w:val="22"/>
        </w:rPr>
        <w:t xml:space="preserve">During the course of my practicum placement only one adult volunteer, a parent of one child donated their time to assist in the classroom. Kelly and Lyons (2011) accept that adult volunteers are a valuable human resource to support the students. It is a goal of mine to garner as much support from the parents of my learners both inside and outside the classroom </w:t>
      </w:r>
      <w:r w:rsidR="00461141" w:rsidRPr="0052681F">
        <w:rPr>
          <w:rFonts w:ascii="Times New Roman" w:hAnsi="Times New Roman"/>
          <w:szCs w:val="22"/>
        </w:rPr>
        <w:t xml:space="preserve">because I too accept them as a valuable resource to support student learning. </w:t>
      </w:r>
      <w:r w:rsidRPr="0052681F">
        <w:rPr>
          <w:rFonts w:ascii="Times New Roman" w:hAnsi="Times New Roman"/>
          <w:szCs w:val="22"/>
        </w:rPr>
        <w:t xml:space="preserve"> </w:t>
      </w:r>
      <w:r w:rsidR="00E66042" w:rsidRPr="0052681F">
        <w:rPr>
          <w:rFonts w:ascii="Times New Roman" w:hAnsi="Times New Roman"/>
          <w:szCs w:val="22"/>
        </w:rPr>
        <w:t xml:space="preserve">   </w:t>
      </w:r>
    </w:p>
    <w:p w:rsidR="00E66042" w:rsidRPr="0052681F" w:rsidRDefault="00E66042" w:rsidP="0052681F">
      <w:pPr>
        <w:spacing w:line="360" w:lineRule="auto"/>
        <w:rPr>
          <w:rFonts w:ascii="Times New Roman" w:hAnsi="Times New Roman"/>
          <w:szCs w:val="22"/>
        </w:rPr>
      </w:pPr>
      <w:r w:rsidRPr="0052681F">
        <w:rPr>
          <w:rFonts w:ascii="Times New Roman" w:hAnsi="Times New Roman"/>
          <w:szCs w:val="22"/>
        </w:rPr>
        <w:t xml:space="preserve">Whilst introducing the new concept of mass, I discovered that the learners in the classroom had no understanding of this concept. </w:t>
      </w:r>
      <w:r w:rsidR="001730F5" w:rsidRPr="0052681F">
        <w:rPr>
          <w:rFonts w:ascii="Times New Roman" w:hAnsi="Times New Roman"/>
          <w:szCs w:val="22"/>
        </w:rPr>
        <w:t xml:space="preserve">Further to that and more specifically that the concept of ‘unit of measurement’ was only relevant to their prior learning i.e. centimetres and meters. </w:t>
      </w:r>
      <w:r w:rsidRPr="0052681F">
        <w:rPr>
          <w:rFonts w:ascii="Times New Roman" w:hAnsi="Times New Roman"/>
          <w:szCs w:val="22"/>
        </w:rPr>
        <w:t xml:space="preserve">This circumstance led me to believe that differentiation would not be practical at this introductory phase and the same circumstance prevailed during the introduction phase of the lessons following. I therefore introduced the concept to the group as a whole and set about differentiating by offering the students choice and flexibility as to how they might be able to represent the concept of mass in their own terms. Choice and flexibility as well as ongoing assessment are described as the most important elements of differentiated instruction (Anderson, 2007). The learners were given the opportunity to determine how they might prove which object may or may not have the greater mass. According to Westwood (2007) the complex task facing educators of students with disabilities in the mainstream is how to meet the needs of these students in an environment where a standard academic curriculum prevails. </w:t>
      </w:r>
    </w:p>
    <w:p w:rsidR="00E66042" w:rsidRPr="0052681F" w:rsidRDefault="00E66042" w:rsidP="0052681F">
      <w:pPr>
        <w:spacing w:line="360" w:lineRule="auto"/>
        <w:rPr>
          <w:rFonts w:ascii="Times New Roman" w:hAnsi="Times New Roman"/>
          <w:szCs w:val="22"/>
        </w:rPr>
      </w:pPr>
      <w:r w:rsidRPr="0052681F">
        <w:rPr>
          <w:rFonts w:ascii="Times New Roman" w:hAnsi="Times New Roman"/>
          <w:szCs w:val="22"/>
        </w:rPr>
        <w:t xml:space="preserve">If teachers are to differentiate effectively, then they should determine what their students should know and what each child should be able to do at the conclusion of the lesson or unit (Tomlinson, 2000 as cited in Anderson, 2007). </w:t>
      </w:r>
    </w:p>
    <w:p w:rsidR="00E66042" w:rsidRPr="0052681F" w:rsidRDefault="00E66042" w:rsidP="0052681F">
      <w:pPr>
        <w:spacing w:line="360" w:lineRule="auto"/>
        <w:rPr>
          <w:rFonts w:ascii="Times New Roman" w:hAnsi="Times New Roman"/>
          <w:szCs w:val="22"/>
        </w:rPr>
      </w:pPr>
      <w:r w:rsidRPr="0052681F">
        <w:rPr>
          <w:rFonts w:ascii="Times New Roman" w:hAnsi="Times New Roman"/>
          <w:szCs w:val="22"/>
        </w:rPr>
        <w:t xml:space="preserve">Teachers that differentiate believe that every child is unique with differing learning styles and preferences. They differentiate based on students; readiness by varying the levels of difficulty of the material covered in class.  Teachers may wish to differentiate by aligning with students' abilities or interests. The students were afforded the opportunity to select the majority of concrete real world objects themselves for the comparison and measurement activities. Most of these students had no idea what a kilogram or a gram felt like in the hand or how it may compare to the real world objects in their classroom therefore the first activity had to provide the students an opportunity to use their senses to experience the difference between one kilogram and one gram. </w:t>
      </w:r>
    </w:p>
    <w:p w:rsidR="00E66042" w:rsidRPr="0052681F" w:rsidRDefault="00E66042" w:rsidP="0052681F">
      <w:pPr>
        <w:spacing w:line="360" w:lineRule="auto"/>
        <w:rPr>
          <w:rFonts w:ascii="Times New Roman" w:hAnsi="Times New Roman"/>
          <w:szCs w:val="22"/>
        </w:rPr>
      </w:pPr>
      <w:r w:rsidRPr="0052681F">
        <w:rPr>
          <w:rFonts w:ascii="Times New Roman" w:hAnsi="Times New Roman"/>
          <w:szCs w:val="22"/>
        </w:rPr>
        <w:t xml:space="preserve">Educators are, according to Westwood (2007) expected to accommodate students with diverse needs by modifying the curriculum in ways that allow all students the same access. </w:t>
      </w:r>
    </w:p>
    <w:p w:rsidR="0003703C" w:rsidRDefault="007921FE" w:rsidP="0052681F">
      <w:pPr>
        <w:spacing w:line="360" w:lineRule="auto"/>
        <w:rPr>
          <w:rFonts w:ascii="Times New Roman" w:hAnsi="Times New Roman"/>
        </w:rPr>
      </w:pPr>
      <w:r w:rsidRPr="0052681F">
        <w:rPr>
          <w:rFonts w:ascii="Times New Roman" w:hAnsi="Times New Roman"/>
        </w:rPr>
        <w:br w:type="page"/>
        <w:t>References for Catering for Diversity filter.</w:t>
      </w:r>
    </w:p>
    <w:p w:rsidR="00D26291" w:rsidRPr="0052681F" w:rsidRDefault="00D26291" w:rsidP="0052681F">
      <w:pPr>
        <w:spacing w:line="360" w:lineRule="auto"/>
        <w:rPr>
          <w:rFonts w:ascii="Times New Roman" w:hAnsi="Times New Roman"/>
        </w:rPr>
      </w:pPr>
    </w:p>
    <w:p w:rsidR="007921FE" w:rsidRPr="0052681F" w:rsidRDefault="00F947A5" w:rsidP="0052681F">
      <w:pPr>
        <w:spacing w:line="360" w:lineRule="auto"/>
        <w:ind w:left="720" w:hanging="720"/>
        <w:rPr>
          <w:rFonts w:ascii="Times New Roman" w:hAnsi="Times New Roman"/>
          <w:noProof/>
        </w:rPr>
      </w:pPr>
      <w:r w:rsidRPr="0052681F">
        <w:rPr>
          <w:rFonts w:ascii="Times New Roman" w:hAnsi="Times New Roman"/>
        </w:rPr>
        <w:fldChar w:fldCharType="begin"/>
      </w:r>
      <w:r w:rsidR="007921FE" w:rsidRPr="0052681F">
        <w:rPr>
          <w:rFonts w:ascii="Times New Roman" w:hAnsi="Times New Roman"/>
        </w:rPr>
        <w:instrText xml:space="preserve"> ADDIN EN.REFLIST </w:instrText>
      </w:r>
      <w:r w:rsidRPr="0052681F">
        <w:rPr>
          <w:rFonts w:ascii="Times New Roman" w:hAnsi="Times New Roman"/>
        </w:rPr>
        <w:fldChar w:fldCharType="separate"/>
      </w:r>
      <w:r w:rsidR="007921FE" w:rsidRPr="0052681F">
        <w:rPr>
          <w:rFonts w:ascii="Times New Roman" w:hAnsi="Times New Roman"/>
          <w:noProof/>
        </w:rPr>
        <w:t xml:space="preserve">Anderson, K. M. (2007). Tips for Teaching: Differentiating Instruction to Include All Students. </w:t>
      </w:r>
      <w:r w:rsidR="007921FE" w:rsidRPr="0052681F">
        <w:rPr>
          <w:rFonts w:ascii="Times New Roman" w:hAnsi="Times New Roman"/>
          <w:i/>
          <w:noProof/>
        </w:rPr>
        <w:t>Preventing School Failure, 51</w:t>
      </w:r>
      <w:r w:rsidR="007921FE" w:rsidRPr="0052681F">
        <w:rPr>
          <w:rFonts w:ascii="Times New Roman" w:hAnsi="Times New Roman"/>
          <w:noProof/>
        </w:rPr>
        <w:t xml:space="preserve">(3), 49-54. </w:t>
      </w:r>
    </w:p>
    <w:p w:rsidR="007921FE" w:rsidRPr="0052681F" w:rsidRDefault="007921FE" w:rsidP="0052681F">
      <w:pPr>
        <w:spacing w:line="360" w:lineRule="auto"/>
        <w:ind w:left="720" w:hanging="720"/>
        <w:rPr>
          <w:rFonts w:ascii="Times New Roman" w:hAnsi="Times New Roman"/>
          <w:noProof/>
        </w:rPr>
      </w:pPr>
      <w:r w:rsidRPr="0052681F">
        <w:rPr>
          <w:rFonts w:ascii="Times New Roman" w:hAnsi="Times New Roman"/>
          <w:noProof/>
        </w:rPr>
        <w:t xml:space="preserve">Arthur, J., and Cremin, T. (2010). </w:t>
      </w:r>
      <w:r w:rsidRPr="0052681F">
        <w:rPr>
          <w:rFonts w:ascii="Times New Roman" w:hAnsi="Times New Roman"/>
          <w:i/>
          <w:noProof/>
        </w:rPr>
        <w:t xml:space="preserve">Learning to teach in the primary school.(2nd, edn.). </w:t>
      </w:r>
      <w:r w:rsidRPr="0052681F">
        <w:rPr>
          <w:rFonts w:ascii="Times New Roman" w:hAnsi="Times New Roman"/>
          <w:noProof/>
        </w:rPr>
        <w:t>Milton Park, Abingdon, Oxon OX14 4RN; Routledge.</w:t>
      </w:r>
    </w:p>
    <w:p w:rsidR="007921FE" w:rsidRPr="0052681F" w:rsidRDefault="007921FE" w:rsidP="0052681F">
      <w:pPr>
        <w:spacing w:line="360" w:lineRule="auto"/>
        <w:ind w:left="720" w:hanging="720"/>
        <w:rPr>
          <w:rFonts w:ascii="Times New Roman" w:hAnsi="Times New Roman"/>
          <w:noProof/>
        </w:rPr>
      </w:pPr>
      <w:r w:rsidRPr="0052681F">
        <w:rPr>
          <w:rFonts w:ascii="Times New Roman" w:hAnsi="Times New Roman"/>
          <w:noProof/>
        </w:rPr>
        <w:t xml:space="preserve">Department of Education and Training. (2011). </w:t>
      </w:r>
      <w:r w:rsidRPr="0052681F">
        <w:rPr>
          <w:rFonts w:ascii="Times New Roman" w:hAnsi="Times New Roman"/>
          <w:i/>
          <w:noProof/>
        </w:rPr>
        <w:t xml:space="preserve">Dimensions of teaching and learning. pdf. </w:t>
      </w:r>
      <w:r w:rsidRPr="0052681F">
        <w:rPr>
          <w:rFonts w:ascii="Times New Roman" w:hAnsi="Times New Roman"/>
          <w:noProof/>
        </w:rPr>
        <w:t>EDP3333. Curriculum and Pedagogy 3. Week 2 Workshop resources. Retrieved from,</w:t>
      </w:r>
      <w:r w:rsidRPr="0052681F">
        <w:rPr>
          <w:rFonts w:ascii="Times New Roman" w:hAnsi="Times New Roman"/>
          <w:i/>
          <w:noProof/>
        </w:rPr>
        <w:t xml:space="preserve"> h</w:t>
      </w:r>
      <w:r w:rsidRPr="0052681F">
        <w:rPr>
          <w:rFonts w:ascii="Times New Roman" w:hAnsi="Times New Roman"/>
          <w:noProof/>
        </w:rPr>
        <w:t>ttp://usqstudydesk.usq.edu.au/m2/mod/resource/view.php?id=274511</w:t>
      </w:r>
    </w:p>
    <w:p w:rsidR="007921FE" w:rsidRPr="0052681F" w:rsidRDefault="007921FE" w:rsidP="0052681F">
      <w:pPr>
        <w:spacing w:line="360" w:lineRule="auto"/>
        <w:ind w:left="720" w:hanging="720"/>
        <w:rPr>
          <w:rFonts w:ascii="Times New Roman" w:hAnsi="Times New Roman"/>
          <w:noProof/>
        </w:rPr>
      </w:pPr>
      <w:r w:rsidRPr="0052681F">
        <w:rPr>
          <w:rFonts w:ascii="Times New Roman" w:hAnsi="Times New Roman"/>
          <w:noProof/>
        </w:rPr>
        <w:t xml:space="preserve">Foreman, P. (Ed.). (2011). </w:t>
      </w:r>
      <w:r w:rsidRPr="0052681F">
        <w:rPr>
          <w:rFonts w:ascii="Times New Roman" w:hAnsi="Times New Roman"/>
          <w:i/>
          <w:noProof/>
        </w:rPr>
        <w:t xml:space="preserve">Inclusion in Action (3rd edn.). </w:t>
      </w:r>
      <w:r w:rsidRPr="0052681F">
        <w:rPr>
          <w:rFonts w:ascii="Times New Roman" w:hAnsi="Times New Roman"/>
          <w:noProof/>
        </w:rPr>
        <w:t xml:space="preserve">South Melbourne Victoria Australia: Cengage learning Australia. </w:t>
      </w:r>
    </w:p>
    <w:p w:rsidR="007921FE" w:rsidRPr="0052681F" w:rsidRDefault="007921FE" w:rsidP="0052681F">
      <w:pPr>
        <w:spacing w:line="360" w:lineRule="auto"/>
        <w:ind w:left="720" w:hanging="720"/>
        <w:rPr>
          <w:rFonts w:ascii="Times New Roman" w:hAnsi="Times New Roman"/>
          <w:color w:val="262626"/>
          <w:lang w:val="en-US"/>
        </w:rPr>
      </w:pPr>
      <w:r w:rsidRPr="0052681F">
        <w:rPr>
          <w:rFonts w:ascii="Times New Roman" w:hAnsi="Times New Roman"/>
          <w:color w:val="262626"/>
          <w:lang w:val="en-US"/>
        </w:rPr>
        <w:t xml:space="preserve">Loveridge, J, J., Rosewarne, S, S., Shuker, M, J., Barker, A, A., &amp; Nager, J, J. (2012). Responding to diversity: statements and practices in two early childhood education contexts. </w:t>
      </w:r>
      <w:r w:rsidRPr="0052681F">
        <w:rPr>
          <w:rFonts w:ascii="Times New Roman" w:hAnsi="Times New Roman"/>
          <w:i/>
          <w:iCs/>
          <w:color w:val="262626"/>
          <w:lang w:val="en-US"/>
        </w:rPr>
        <w:t>European Early Childhood Education Research Journal</w:t>
      </w:r>
      <w:r w:rsidRPr="0052681F">
        <w:rPr>
          <w:rFonts w:ascii="Times New Roman" w:hAnsi="Times New Roman"/>
          <w:color w:val="262626"/>
          <w:lang w:val="en-US"/>
        </w:rPr>
        <w:t xml:space="preserve">, </w:t>
      </w:r>
      <w:r w:rsidRPr="0052681F">
        <w:rPr>
          <w:rFonts w:ascii="Times New Roman" w:hAnsi="Times New Roman"/>
          <w:i/>
          <w:iCs/>
          <w:color w:val="262626"/>
          <w:lang w:val="en-US"/>
        </w:rPr>
        <w:t>20</w:t>
      </w:r>
      <w:r w:rsidRPr="0052681F">
        <w:rPr>
          <w:rFonts w:ascii="Times New Roman" w:hAnsi="Times New Roman"/>
          <w:color w:val="262626"/>
          <w:lang w:val="en-US"/>
        </w:rPr>
        <w:t>(1), 99-113. doi:10.1080/1350293X.2011.634998</w:t>
      </w:r>
    </w:p>
    <w:p w:rsidR="007921FE" w:rsidRPr="0052681F" w:rsidRDefault="00F947A5" w:rsidP="0052681F">
      <w:pPr>
        <w:spacing w:line="360" w:lineRule="auto"/>
        <w:rPr>
          <w:rFonts w:ascii="Times New Roman" w:hAnsi="Times New Roman"/>
          <w:i/>
        </w:rPr>
      </w:pPr>
      <w:r w:rsidRPr="0052681F">
        <w:rPr>
          <w:rFonts w:ascii="Times New Roman" w:hAnsi="Times New Roman"/>
        </w:rPr>
        <w:fldChar w:fldCharType="end"/>
      </w:r>
      <w:r w:rsidR="007921FE" w:rsidRPr="0052681F">
        <w:rPr>
          <w:rFonts w:ascii="Times New Roman" w:hAnsi="Times New Roman"/>
        </w:rPr>
        <w:t xml:space="preserve">Tomlinson, C, A., &amp; McTighe, J. (2006). </w:t>
      </w:r>
      <w:r w:rsidR="007921FE" w:rsidRPr="0052681F">
        <w:rPr>
          <w:rFonts w:ascii="Times New Roman" w:hAnsi="Times New Roman"/>
          <w:i/>
        </w:rPr>
        <w:t>Integrating Differentiated Instruction and</w:t>
      </w:r>
    </w:p>
    <w:p w:rsidR="007921FE" w:rsidRPr="0052681F" w:rsidRDefault="00B23D03" w:rsidP="0052681F">
      <w:pPr>
        <w:spacing w:line="360" w:lineRule="auto"/>
        <w:ind w:left="720" w:firstLine="60"/>
        <w:rPr>
          <w:rFonts w:ascii="Times New Roman" w:hAnsi="Times New Roman"/>
          <w:i/>
        </w:rPr>
      </w:pPr>
      <w:r>
        <w:rPr>
          <w:rFonts w:ascii="Times New Roman" w:hAnsi="Times New Roman"/>
          <w:i/>
        </w:rPr>
        <w:t>Understanding by D</w:t>
      </w:r>
      <w:r w:rsidR="007921FE" w:rsidRPr="0052681F">
        <w:rPr>
          <w:rFonts w:ascii="Times New Roman" w:hAnsi="Times New Roman"/>
          <w:i/>
        </w:rPr>
        <w:t xml:space="preserve">esign. </w:t>
      </w:r>
      <w:r w:rsidR="007921FE" w:rsidRPr="0052681F">
        <w:rPr>
          <w:rFonts w:ascii="Times New Roman" w:hAnsi="Times New Roman"/>
        </w:rPr>
        <w:t xml:space="preserve">Alexandria, Virginia USA: Association for supervision and curriculum development. </w:t>
      </w:r>
      <w:r w:rsidR="007921FE" w:rsidRPr="0052681F">
        <w:rPr>
          <w:rFonts w:ascii="Times New Roman" w:hAnsi="Times New Roman"/>
          <w:i/>
        </w:rPr>
        <w:t xml:space="preserve"> </w:t>
      </w:r>
    </w:p>
    <w:p w:rsidR="007921FE" w:rsidRPr="0052681F" w:rsidRDefault="007921FE" w:rsidP="0052681F">
      <w:pPr>
        <w:spacing w:line="360" w:lineRule="auto"/>
        <w:rPr>
          <w:rFonts w:ascii="Times New Roman" w:hAnsi="Times New Roman"/>
        </w:rPr>
      </w:pPr>
      <w:r w:rsidRPr="0052681F">
        <w:rPr>
          <w:rFonts w:ascii="Times New Roman" w:hAnsi="Times New Roman"/>
        </w:rPr>
        <w:t xml:space="preserve">Westwood, P. (2007). </w:t>
      </w:r>
      <w:r w:rsidRPr="0052681F">
        <w:rPr>
          <w:rFonts w:ascii="Times New Roman" w:hAnsi="Times New Roman"/>
          <w:i/>
        </w:rPr>
        <w:t xml:space="preserve">Common sense methods for children with special </w:t>
      </w:r>
      <w:r w:rsidR="00575C6D">
        <w:rPr>
          <w:rFonts w:ascii="Times New Roman" w:hAnsi="Times New Roman"/>
          <w:i/>
        </w:rPr>
        <w:t xml:space="preserve">educational </w:t>
      </w:r>
      <w:r w:rsidR="00575C6D">
        <w:rPr>
          <w:rFonts w:ascii="Times New Roman" w:hAnsi="Times New Roman"/>
          <w:i/>
        </w:rPr>
        <w:tab/>
      </w:r>
      <w:r w:rsidRPr="0052681F">
        <w:rPr>
          <w:rFonts w:ascii="Times New Roman" w:hAnsi="Times New Roman"/>
          <w:i/>
        </w:rPr>
        <w:t xml:space="preserve">needs. </w:t>
      </w:r>
      <w:r w:rsidRPr="0052681F">
        <w:rPr>
          <w:rFonts w:ascii="Times New Roman" w:hAnsi="Times New Roman"/>
        </w:rPr>
        <w:t>New York: Routledge.</w:t>
      </w:r>
    </w:p>
    <w:p w:rsidR="001E6D6A" w:rsidRPr="0052681F" w:rsidRDefault="001E6D6A" w:rsidP="0052681F">
      <w:pPr>
        <w:pStyle w:val="Default"/>
        <w:spacing w:line="360" w:lineRule="auto"/>
      </w:pPr>
    </w:p>
    <w:p w:rsidR="00CE1865" w:rsidRPr="0052681F" w:rsidRDefault="00CE1865" w:rsidP="0052681F">
      <w:pPr>
        <w:pStyle w:val="Default"/>
        <w:spacing w:line="360" w:lineRule="auto"/>
        <w:rPr>
          <w:szCs w:val="22"/>
        </w:rPr>
      </w:pPr>
    </w:p>
    <w:p w:rsidR="00CC04E2" w:rsidRPr="0052681F" w:rsidRDefault="00CC04E2" w:rsidP="0052681F">
      <w:pPr>
        <w:pStyle w:val="Default"/>
        <w:spacing w:line="360" w:lineRule="auto"/>
        <w:rPr>
          <w:b/>
          <w:i/>
          <w:u w:val="single"/>
        </w:rPr>
      </w:pPr>
    </w:p>
    <w:p w:rsidR="00CC04E2" w:rsidRPr="0052681F" w:rsidRDefault="00CC04E2" w:rsidP="0052681F">
      <w:pPr>
        <w:pStyle w:val="Default"/>
        <w:spacing w:line="360" w:lineRule="auto"/>
        <w:rPr>
          <w:b/>
          <w:i/>
          <w:u w:val="single"/>
        </w:rPr>
      </w:pPr>
    </w:p>
    <w:p w:rsidR="00CC04E2" w:rsidRPr="0052681F" w:rsidRDefault="00CC04E2" w:rsidP="0052681F">
      <w:pPr>
        <w:pStyle w:val="Default"/>
        <w:spacing w:line="360" w:lineRule="auto"/>
      </w:pPr>
    </w:p>
    <w:p w:rsidR="00CE1865" w:rsidRPr="0052681F" w:rsidRDefault="00CE1865" w:rsidP="0052681F">
      <w:pPr>
        <w:pStyle w:val="Default"/>
        <w:spacing w:line="360" w:lineRule="auto"/>
      </w:pPr>
    </w:p>
    <w:p w:rsidR="00CE1865" w:rsidRPr="0052681F" w:rsidRDefault="00CE1865" w:rsidP="0052681F">
      <w:pPr>
        <w:pStyle w:val="Default"/>
        <w:tabs>
          <w:tab w:val="left" w:pos="2933"/>
        </w:tabs>
        <w:spacing w:line="360" w:lineRule="auto"/>
      </w:pPr>
      <w:r w:rsidRPr="0052681F">
        <w:tab/>
      </w:r>
    </w:p>
    <w:p w:rsidR="001E6D6A" w:rsidRPr="0052681F" w:rsidRDefault="001E6D6A" w:rsidP="0052681F">
      <w:pPr>
        <w:pStyle w:val="Default"/>
        <w:spacing w:line="360" w:lineRule="auto"/>
        <w:rPr>
          <w:szCs w:val="22"/>
        </w:rPr>
      </w:pPr>
      <w:r w:rsidRPr="0052681F">
        <w:br w:type="page"/>
      </w:r>
    </w:p>
    <w:p w:rsidR="001E6D6A" w:rsidRPr="0003703C" w:rsidRDefault="001E6D6A" w:rsidP="0003703C">
      <w:pPr>
        <w:pStyle w:val="Default"/>
        <w:spacing w:line="360" w:lineRule="auto"/>
        <w:rPr>
          <w:szCs w:val="22"/>
        </w:rPr>
      </w:pPr>
      <w:r w:rsidRPr="0052681F">
        <w:rPr>
          <w:szCs w:val="22"/>
        </w:rPr>
        <w:t>Using formative assessment strategies to monitor student learning</w:t>
      </w:r>
      <w:r w:rsidR="00E73DF8">
        <w:rPr>
          <w:szCs w:val="22"/>
        </w:rPr>
        <w:t>.</w:t>
      </w:r>
    </w:p>
    <w:p w:rsidR="00FC7FD2" w:rsidRPr="0003703C" w:rsidRDefault="00433033" w:rsidP="0052681F">
      <w:pPr>
        <w:spacing w:line="360" w:lineRule="auto"/>
        <w:rPr>
          <w:rFonts w:ascii="Times New Roman" w:hAnsi="Times New Roman"/>
          <w:color w:val="660066"/>
        </w:rPr>
      </w:pPr>
      <w:r w:rsidRPr="0052681F">
        <w:rPr>
          <w:rFonts w:ascii="Times New Roman" w:hAnsi="Times New Roman"/>
        </w:rPr>
        <w:t>Missett, Brunner, Callahan, Moon and Azano (2014) define Formative Assessment as assessment for learning within a unit of study where immediate feedback provides data for teachers to make adjustments to pace</w:t>
      </w:r>
      <w:r w:rsidR="0052681F" w:rsidRPr="0052681F">
        <w:rPr>
          <w:rFonts w:ascii="Times New Roman" w:hAnsi="Times New Roman"/>
        </w:rPr>
        <w:t xml:space="preserve"> of delivery of learning</w:t>
      </w:r>
      <w:r w:rsidRPr="0052681F">
        <w:rPr>
          <w:rFonts w:ascii="Times New Roman" w:hAnsi="Times New Roman"/>
        </w:rPr>
        <w:t xml:space="preserve">, </w:t>
      </w:r>
      <w:r w:rsidR="0052681F" w:rsidRPr="0052681F">
        <w:rPr>
          <w:rFonts w:ascii="Times New Roman" w:hAnsi="Times New Roman"/>
        </w:rPr>
        <w:t xml:space="preserve">readiness of the learners and scaffolding needs of students. </w:t>
      </w:r>
      <w:r w:rsidR="006620A4" w:rsidRPr="0052681F">
        <w:rPr>
          <w:rFonts w:ascii="Times New Roman" w:hAnsi="Times New Roman"/>
        </w:rPr>
        <w:t xml:space="preserve">Formative assessment </w:t>
      </w:r>
      <w:r w:rsidR="00D96FB4" w:rsidRPr="0052681F">
        <w:rPr>
          <w:rFonts w:ascii="Times New Roman" w:hAnsi="Times New Roman"/>
        </w:rPr>
        <w:t>happens</w:t>
      </w:r>
      <w:r w:rsidR="006620A4" w:rsidRPr="0052681F">
        <w:rPr>
          <w:rFonts w:ascii="Times New Roman" w:hAnsi="Times New Roman"/>
        </w:rPr>
        <w:t xml:space="preserve"> </w:t>
      </w:r>
      <w:r w:rsidR="00D96FB4" w:rsidRPr="0052681F">
        <w:rPr>
          <w:rFonts w:ascii="Times New Roman" w:hAnsi="Times New Roman"/>
        </w:rPr>
        <w:t>simultaneously</w:t>
      </w:r>
      <w:r w:rsidR="006620A4" w:rsidRPr="0052681F">
        <w:rPr>
          <w:rFonts w:ascii="Times New Roman" w:hAnsi="Times New Roman"/>
        </w:rPr>
        <w:t xml:space="preserve"> with </w:t>
      </w:r>
      <w:r w:rsidR="00D96FB4" w:rsidRPr="0052681F">
        <w:rPr>
          <w:rFonts w:ascii="Times New Roman" w:hAnsi="Times New Roman"/>
        </w:rPr>
        <w:t>the learning experience</w:t>
      </w:r>
      <w:r w:rsidR="006620A4" w:rsidRPr="0052681F">
        <w:rPr>
          <w:rFonts w:ascii="Times New Roman" w:hAnsi="Times New Roman"/>
        </w:rPr>
        <w:t xml:space="preserve"> and provides information to guide teaching and learning for the purpose of improving learning (Tomlinson &amp; McTighe, 2006). These formative assessments may be formal or informal</w:t>
      </w:r>
      <w:r w:rsidR="00D96FB4" w:rsidRPr="0052681F">
        <w:rPr>
          <w:rFonts w:ascii="Times New Roman" w:hAnsi="Times New Roman"/>
        </w:rPr>
        <w:t xml:space="preserve"> and may consist of but not limited to oral questioning, observation student constructed concept maps (Tomlinson &amp; McTighe, 2006). </w:t>
      </w:r>
      <w:bookmarkStart w:id="0" w:name="_GoBack"/>
      <w:bookmarkEnd w:id="0"/>
      <w:r w:rsidR="001442BB" w:rsidRPr="0052681F">
        <w:rPr>
          <w:rFonts w:ascii="Times New Roman" w:hAnsi="Times New Roman"/>
        </w:rPr>
        <w:t>Gipps and Pickering (2010) as cited in Arthur and Cremin (2010) propose that teachers share the big picture with the learners from the start. By that they mean sharing the assessment or success criteria with the learners as well as the content of a given unit of work or lesson.</w:t>
      </w:r>
      <w:r w:rsidR="00BD0A39" w:rsidRPr="0052681F">
        <w:rPr>
          <w:rFonts w:ascii="Times New Roman" w:hAnsi="Times New Roman"/>
        </w:rPr>
        <w:t xml:space="preserve"> </w:t>
      </w:r>
    </w:p>
    <w:p w:rsidR="003D052C" w:rsidRPr="0052681F" w:rsidRDefault="000F1C27" w:rsidP="0052681F">
      <w:pPr>
        <w:spacing w:line="360" w:lineRule="auto"/>
        <w:rPr>
          <w:rFonts w:ascii="Times New Roman" w:hAnsi="Times New Roman"/>
          <w:szCs w:val="22"/>
        </w:rPr>
      </w:pPr>
      <w:r w:rsidRPr="0052681F">
        <w:rPr>
          <w:rFonts w:ascii="Times New Roman" w:hAnsi="Times New Roman"/>
          <w:szCs w:val="22"/>
        </w:rPr>
        <w:t>Best practice</w:t>
      </w:r>
      <w:r w:rsidR="009F375B" w:rsidRPr="0052681F">
        <w:rPr>
          <w:rFonts w:ascii="Times New Roman" w:hAnsi="Times New Roman"/>
          <w:szCs w:val="22"/>
        </w:rPr>
        <w:t xml:space="preserve"> of</w:t>
      </w:r>
      <w:r w:rsidRPr="0052681F">
        <w:rPr>
          <w:rFonts w:ascii="Times New Roman" w:hAnsi="Times New Roman"/>
          <w:szCs w:val="22"/>
        </w:rPr>
        <w:t xml:space="preserve"> formative assessment </w:t>
      </w:r>
      <w:r w:rsidR="009F375B" w:rsidRPr="0052681F">
        <w:rPr>
          <w:rFonts w:ascii="Times New Roman" w:hAnsi="Times New Roman"/>
          <w:szCs w:val="22"/>
        </w:rPr>
        <w:t xml:space="preserve">begins with effective </w:t>
      </w:r>
      <w:r w:rsidR="009678D5" w:rsidRPr="0052681F">
        <w:rPr>
          <w:rFonts w:ascii="Times New Roman" w:hAnsi="Times New Roman"/>
          <w:szCs w:val="22"/>
        </w:rPr>
        <w:t>'</w:t>
      </w:r>
      <w:r w:rsidR="009F375B" w:rsidRPr="0052681F">
        <w:rPr>
          <w:rFonts w:ascii="Times New Roman" w:hAnsi="Times New Roman"/>
          <w:szCs w:val="22"/>
        </w:rPr>
        <w:t>planning</w:t>
      </w:r>
      <w:r w:rsidR="009678D5" w:rsidRPr="0052681F">
        <w:rPr>
          <w:rFonts w:ascii="Times New Roman" w:hAnsi="Times New Roman"/>
          <w:szCs w:val="22"/>
        </w:rPr>
        <w:t>'</w:t>
      </w:r>
      <w:r w:rsidR="009F375B" w:rsidRPr="0052681F">
        <w:rPr>
          <w:rFonts w:ascii="Times New Roman" w:hAnsi="Times New Roman"/>
          <w:szCs w:val="22"/>
        </w:rPr>
        <w:t xml:space="preserve"> of teaching and learning (Gipps &amp; Pickering as cited in Arthur &amp; Cremin, 2010). </w:t>
      </w:r>
      <w:r w:rsidR="009678D5" w:rsidRPr="0052681F">
        <w:rPr>
          <w:rFonts w:ascii="Times New Roman" w:hAnsi="Times New Roman"/>
          <w:szCs w:val="22"/>
        </w:rPr>
        <w:t>I</w:t>
      </w:r>
      <w:r w:rsidR="003B1705" w:rsidRPr="0052681F">
        <w:rPr>
          <w:rFonts w:ascii="Times New Roman" w:hAnsi="Times New Roman"/>
          <w:szCs w:val="22"/>
        </w:rPr>
        <w:t>n my view, w</w:t>
      </w:r>
      <w:r w:rsidR="00850A48" w:rsidRPr="0052681F">
        <w:rPr>
          <w:rFonts w:ascii="Times New Roman" w:hAnsi="Times New Roman"/>
          <w:szCs w:val="22"/>
        </w:rPr>
        <w:t xml:space="preserve">hilst reflecting on the unit plan I </w:t>
      </w:r>
      <w:r w:rsidR="003B1705" w:rsidRPr="0052681F">
        <w:rPr>
          <w:rFonts w:ascii="Times New Roman" w:hAnsi="Times New Roman"/>
          <w:szCs w:val="22"/>
        </w:rPr>
        <w:t xml:space="preserve">can </w:t>
      </w:r>
      <w:r w:rsidR="00850A48" w:rsidRPr="0052681F">
        <w:rPr>
          <w:rFonts w:ascii="Times New Roman" w:hAnsi="Times New Roman"/>
          <w:szCs w:val="22"/>
        </w:rPr>
        <w:t>accept that from the perspective of planning there is room for improvement. There is not enough detail within the context of the unit plan I developed to agree with the above althou</w:t>
      </w:r>
      <w:r w:rsidR="003B1705" w:rsidRPr="0052681F">
        <w:rPr>
          <w:rFonts w:ascii="Times New Roman" w:hAnsi="Times New Roman"/>
          <w:szCs w:val="22"/>
        </w:rPr>
        <w:t>gh the feedback from my teacher mentor</w:t>
      </w:r>
      <w:r w:rsidR="00D872B6" w:rsidRPr="0052681F">
        <w:rPr>
          <w:rFonts w:ascii="Times New Roman" w:hAnsi="Times New Roman"/>
          <w:szCs w:val="22"/>
        </w:rPr>
        <w:t xml:space="preserve"> </w:t>
      </w:r>
      <w:r w:rsidR="009678D5" w:rsidRPr="0052681F">
        <w:rPr>
          <w:rFonts w:ascii="Times New Roman" w:hAnsi="Times New Roman"/>
          <w:szCs w:val="22"/>
        </w:rPr>
        <w:t xml:space="preserve">gives me the confidence that I do have a sound understanding of formative assessment. </w:t>
      </w:r>
      <w:r w:rsidR="00574A6D" w:rsidRPr="0052681F">
        <w:rPr>
          <w:rFonts w:ascii="Times New Roman" w:hAnsi="Times New Roman"/>
          <w:szCs w:val="22"/>
        </w:rPr>
        <w:t>"Stephen</w:t>
      </w:r>
      <w:r w:rsidR="00D872B6" w:rsidRPr="0052681F">
        <w:rPr>
          <w:rFonts w:ascii="Times New Roman" w:hAnsi="Times New Roman"/>
          <w:szCs w:val="22"/>
        </w:rPr>
        <w:t xml:space="preserve"> understands the importance and purpose of providing feedback to the students about their learning. Stephen used formal and informal strategies to </w:t>
      </w:r>
      <w:r w:rsidR="009678D5" w:rsidRPr="0052681F">
        <w:rPr>
          <w:rFonts w:ascii="Times New Roman" w:hAnsi="Times New Roman"/>
          <w:szCs w:val="22"/>
        </w:rPr>
        <w:t xml:space="preserve">assess the students' learning" (Professional experience report, 2014). </w:t>
      </w:r>
    </w:p>
    <w:p w:rsidR="00FC7FD2" w:rsidRPr="0003703C" w:rsidRDefault="003D052C" w:rsidP="0003703C">
      <w:pPr>
        <w:spacing w:line="360" w:lineRule="auto"/>
        <w:rPr>
          <w:rFonts w:ascii="Times New Roman" w:hAnsi="Times New Roman"/>
          <w:szCs w:val="22"/>
        </w:rPr>
      </w:pPr>
      <w:r w:rsidRPr="0052681F">
        <w:rPr>
          <w:rFonts w:ascii="Times New Roman" w:hAnsi="Times New Roman"/>
          <w:szCs w:val="22"/>
        </w:rPr>
        <w:t>According to Tomlinson and McTighe (2006</w:t>
      </w:r>
      <w:r w:rsidR="007E2075" w:rsidRPr="0052681F">
        <w:rPr>
          <w:rFonts w:ascii="Times New Roman" w:hAnsi="Times New Roman"/>
          <w:szCs w:val="22"/>
        </w:rPr>
        <w:t>, p. 71</w:t>
      </w:r>
      <w:r w:rsidRPr="0052681F">
        <w:rPr>
          <w:rFonts w:ascii="Times New Roman" w:hAnsi="Times New Roman"/>
          <w:szCs w:val="22"/>
        </w:rPr>
        <w:t xml:space="preserve">) formative assessments differ from summative </w:t>
      </w:r>
      <w:r w:rsidR="003C1697">
        <w:rPr>
          <w:rFonts w:ascii="Times New Roman" w:hAnsi="Times New Roman"/>
          <w:szCs w:val="22"/>
        </w:rPr>
        <w:t xml:space="preserve">assessments </w:t>
      </w:r>
      <w:r w:rsidRPr="0052681F">
        <w:rPr>
          <w:rFonts w:ascii="Times New Roman" w:hAnsi="Times New Roman"/>
          <w:szCs w:val="22"/>
        </w:rPr>
        <w:t xml:space="preserve">in that they provide critical </w:t>
      </w:r>
      <w:r w:rsidR="007E2075" w:rsidRPr="0052681F">
        <w:rPr>
          <w:rFonts w:ascii="Times New Roman" w:hAnsi="Times New Roman"/>
          <w:szCs w:val="22"/>
        </w:rPr>
        <w:t>"</w:t>
      </w:r>
      <w:r w:rsidRPr="0052681F">
        <w:rPr>
          <w:rFonts w:ascii="Times New Roman" w:hAnsi="Times New Roman"/>
          <w:szCs w:val="22"/>
        </w:rPr>
        <w:t>along the way</w:t>
      </w:r>
      <w:r w:rsidR="007E2075" w:rsidRPr="0052681F">
        <w:rPr>
          <w:rFonts w:ascii="Times New Roman" w:hAnsi="Times New Roman"/>
          <w:szCs w:val="22"/>
        </w:rPr>
        <w:t>" information to guide instruction in re</w:t>
      </w:r>
      <w:r w:rsidRPr="0052681F">
        <w:rPr>
          <w:rFonts w:ascii="Times New Roman" w:hAnsi="Times New Roman"/>
          <w:szCs w:val="22"/>
        </w:rPr>
        <w:t>sponse to the needs of the diverse learners.</w:t>
      </w:r>
      <w:r w:rsidR="007E2075" w:rsidRPr="0052681F">
        <w:rPr>
          <w:rFonts w:ascii="Times New Roman" w:hAnsi="Times New Roman"/>
          <w:szCs w:val="22"/>
        </w:rPr>
        <w:t xml:space="preserve"> I had to reteach the initial capacity lesson due to a lack of planning evidenced by the formative assessment within the initial lesson. The learners were unable to grasp the objectives of the lesson due t</w:t>
      </w:r>
      <w:r w:rsidR="008A0642" w:rsidRPr="0052681F">
        <w:rPr>
          <w:rFonts w:ascii="Times New Roman" w:hAnsi="Times New Roman"/>
          <w:szCs w:val="22"/>
        </w:rPr>
        <w:t xml:space="preserve">o my organisation of the lesson i.e. the next lesson was more effective due to improved group work planning and the formative assessment provided the learners and me the teacher with evidence of learning. </w:t>
      </w:r>
      <w:r w:rsidR="007E2075" w:rsidRPr="0052681F">
        <w:rPr>
          <w:rFonts w:ascii="Times New Roman" w:hAnsi="Times New Roman"/>
          <w:szCs w:val="22"/>
        </w:rPr>
        <w:t xml:space="preserve"> </w:t>
      </w:r>
      <w:r w:rsidRPr="0052681F">
        <w:rPr>
          <w:rFonts w:ascii="Times New Roman" w:hAnsi="Times New Roman"/>
          <w:szCs w:val="22"/>
        </w:rPr>
        <w:t xml:space="preserve"> </w:t>
      </w:r>
    </w:p>
    <w:p w:rsidR="0050242B" w:rsidRPr="0052681F" w:rsidRDefault="009C1F29" w:rsidP="0052681F">
      <w:pPr>
        <w:pStyle w:val="Default"/>
        <w:spacing w:line="360" w:lineRule="auto"/>
      </w:pPr>
      <w:r w:rsidRPr="0052681F">
        <w:t xml:space="preserve">Tomlinson and McTighe (2006) expect that the students would be assessed for understanding before commencing a unit of work. I assessed the students’ understanding in the introduction phase of the unit of work by </w:t>
      </w:r>
      <w:r w:rsidR="006620A4" w:rsidRPr="0052681F">
        <w:t xml:space="preserve">either </w:t>
      </w:r>
      <w:r w:rsidRPr="0052681F">
        <w:t>developing a quiz</w:t>
      </w:r>
      <w:r w:rsidR="006620A4" w:rsidRPr="0052681F">
        <w:t xml:space="preserve">, oral questioning, dress rehearsals for the hands on activities and think-alouds. These </w:t>
      </w:r>
      <w:r w:rsidR="0050242B" w:rsidRPr="0052681F">
        <w:t xml:space="preserve">following are a sample of the questions </w:t>
      </w:r>
      <w:r w:rsidRPr="0052681F">
        <w:t xml:space="preserve">designed to </w:t>
      </w:r>
      <w:r w:rsidR="00C430B9" w:rsidRPr="0052681F">
        <w:t>focus o</w:t>
      </w:r>
      <w:r w:rsidR="00F61182" w:rsidRPr="0052681F">
        <w:t xml:space="preserve">n the unit’s essential </w:t>
      </w:r>
      <w:r w:rsidR="0050242B" w:rsidRPr="0052681F">
        <w:t xml:space="preserve">question; What can you tell me </w:t>
      </w:r>
      <w:r w:rsidR="00F61182" w:rsidRPr="0052681F">
        <w:t xml:space="preserve">about...?; </w:t>
      </w:r>
      <w:r w:rsidR="0050242B" w:rsidRPr="0052681F">
        <w:t>What does it remind you of....</w:t>
      </w:r>
      <w:r w:rsidR="00C430B9" w:rsidRPr="0052681F">
        <w:t>?</w:t>
      </w:r>
      <w:r w:rsidR="0050242B" w:rsidRPr="0052681F">
        <w:t>; What do you think will happen when I place these two items on separate sides of the balance scales?</w:t>
      </w:r>
      <w:r w:rsidR="00C430B9" w:rsidRPr="0052681F">
        <w:t xml:space="preserve"> </w:t>
      </w:r>
    </w:p>
    <w:p w:rsidR="00FC7FD2" w:rsidRPr="0052681F" w:rsidRDefault="00FC7FD2" w:rsidP="0052681F">
      <w:pPr>
        <w:pStyle w:val="Default"/>
        <w:spacing w:line="360" w:lineRule="auto"/>
      </w:pPr>
      <w:r w:rsidRPr="0052681F">
        <w:t xml:space="preserve">The students were required to predict and then prove or disprove their predictions with respect to the mass and capacity lessons. By checking their predictions and discussing their reasoning I was able to determine the level of understanding the learners had in respect of the concept being taught. In a lesson on graphing the previous afternoon I deliberately left out the unit of measurement (cm) and used that error to draw the students into the relevance of a unit of measurement and how important it is to ensure the </w:t>
      </w:r>
      <w:r w:rsidR="008840AC">
        <w:t>text participant</w:t>
      </w:r>
      <w:r w:rsidRPr="0052681F">
        <w:t xml:space="preserve"> knows </w:t>
      </w:r>
      <w:r w:rsidR="00D96FB4" w:rsidRPr="0052681F">
        <w:t>which</w:t>
      </w:r>
      <w:r w:rsidRPr="0052681F">
        <w:t xml:space="preserve"> unit of measurement is appropriate to a given </w:t>
      </w:r>
      <w:r w:rsidR="00D96FB4" w:rsidRPr="0052681F">
        <w:t>circumstance</w:t>
      </w:r>
      <w:r w:rsidRPr="0052681F">
        <w:t xml:space="preserve">. In the second phase of the mass lesson (kg, g) the task sheet required the learners to predict the mass of their chosen objects and test their prediction using standard metric weights and balance scales. </w:t>
      </w:r>
      <w:r w:rsidR="00D96FB4" w:rsidRPr="0052681F">
        <w:t>By developing and implementing a diagnostic assessment I discovered that s</w:t>
      </w:r>
      <w:r w:rsidR="00391B8B" w:rsidRPr="0052681F">
        <w:t xml:space="preserve">ome of the learners were unable relate kilograms or grams to their real world and therefore, before testing their predictions I ensured that the learners were able to use their sense of touch and sight to experience the weight of a variety of graduated weights up to one kilogram. </w:t>
      </w:r>
      <w:r w:rsidR="00BC3C4C" w:rsidRPr="0052681F">
        <w:t xml:space="preserve">Before the lesson </w:t>
      </w:r>
      <w:r w:rsidR="00FD423F" w:rsidRPr="0052681F">
        <w:t>commenced,</w:t>
      </w:r>
      <w:r w:rsidR="00BC3C4C" w:rsidRPr="0052681F">
        <w:t xml:space="preserve"> I informed the learners about how they would be assessed and how they would know if their learning had been successful. </w:t>
      </w:r>
      <w:r w:rsidRPr="0052681F">
        <w:t xml:space="preserve">The learners were expected to </w:t>
      </w:r>
      <w:r w:rsidR="00391B8B" w:rsidRPr="0052681F">
        <w:t>record</w:t>
      </w:r>
      <w:r w:rsidRPr="0052681F">
        <w:t xml:space="preserve"> their responses in kg and or g and I am happy to say that not one learner neglected this importa</w:t>
      </w:r>
      <w:r w:rsidR="00BC3C4C" w:rsidRPr="0052681F">
        <w:t xml:space="preserve">nt element in their responses. </w:t>
      </w:r>
    </w:p>
    <w:p w:rsidR="007921FE" w:rsidRPr="0052681F" w:rsidRDefault="001730F5" w:rsidP="0052681F">
      <w:pPr>
        <w:spacing w:line="360" w:lineRule="auto"/>
        <w:rPr>
          <w:rFonts w:ascii="Times New Roman" w:hAnsi="Times New Roman"/>
          <w:szCs w:val="22"/>
        </w:rPr>
      </w:pPr>
      <w:r w:rsidRPr="0052681F">
        <w:rPr>
          <w:rFonts w:ascii="Times New Roman" w:hAnsi="Times New Roman"/>
          <w:szCs w:val="22"/>
        </w:rPr>
        <w:t xml:space="preserve">During the course of this unit of work the classroom teacher chose not to implement summative assessment as she relied </w:t>
      </w:r>
      <w:r w:rsidR="00863253" w:rsidRPr="0052681F">
        <w:rPr>
          <w:rFonts w:ascii="Times New Roman" w:hAnsi="Times New Roman"/>
          <w:szCs w:val="22"/>
        </w:rPr>
        <w:t>entirely on the C2C and the iMaths tracker books to do that for her. My understanding</w:t>
      </w:r>
      <w:r w:rsidR="00D96FB4" w:rsidRPr="0052681F">
        <w:rPr>
          <w:rFonts w:ascii="Times New Roman" w:hAnsi="Times New Roman"/>
          <w:szCs w:val="22"/>
        </w:rPr>
        <w:t>,</w:t>
      </w:r>
      <w:r w:rsidR="00863253" w:rsidRPr="0052681F">
        <w:rPr>
          <w:rFonts w:ascii="Times New Roman" w:hAnsi="Times New Roman"/>
          <w:szCs w:val="22"/>
        </w:rPr>
        <w:t xml:space="preserve"> derived from year level curriculum meetings and moderation meetings I attended whilst on practicum placement, was that this was a whole school policy. Although I was permitted to be creative with my lesson planning and delivery, I was required to stay true to the C2C documents.</w:t>
      </w:r>
      <w:r w:rsidR="00DF162B">
        <w:rPr>
          <w:rFonts w:ascii="Times New Roman" w:hAnsi="Times New Roman"/>
          <w:szCs w:val="22"/>
        </w:rPr>
        <w:t xml:space="preserve"> </w:t>
      </w:r>
      <w:r w:rsidR="000A7AF0">
        <w:rPr>
          <w:rFonts w:ascii="Times New Roman" w:hAnsi="Times New Roman"/>
          <w:szCs w:val="22"/>
        </w:rPr>
        <w:t>With regard to planning there are deficiencies in my approach and my teacher mentor provided excellent modelling for me to reflect on. This facet of my teaching is in need of improvement.</w:t>
      </w:r>
    </w:p>
    <w:p w:rsidR="00F61182" w:rsidRPr="0052681F" w:rsidRDefault="007921FE" w:rsidP="0052681F">
      <w:pPr>
        <w:spacing w:line="360" w:lineRule="auto"/>
        <w:rPr>
          <w:rFonts w:ascii="Times New Roman" w:hAnsi="Times New Roman"/>
          <w:szCs w:val="22"/>
        </w:rPr>
      </w:pPr>
      <w:r w:rsidRPr="0052681F">
        <w:rPr>
          <w:rFonts w:ascii="Times New Roman" w:hAnsi="Times New Roman"/>
          <w:szCs w:val="22"/>
        </w:rPr>
        <w:br w:type="page"/>
        <w:t>References for Formative Assessment filter.</w:t>
      </w:r>
    </w:p>
    <w:p w:rsidR="007921FE" w:rsidRPr="0052681F" w:rsidRDefault="007921FE" w:rsidP="0052681F">
      <w:pPr>
        <w:spacing w:line="360" w:lineRule="auto"/>
        <w:rPr>
          <w:rFonts w:ascii="Times New Roman" w:hAnsi="Times New Roman"/>
          <w:szCs w:val="22"/>
        </w:rPr>
      </w:pPr>
    </w:p>
    <w:p w:rsidR="007921FE" w:rsidRPr="0052681F" w:rsidRDefault="00F61182" w:rsidP="0052681F">
      <w:pPr>
        <w:spacing w:line="360" w:lineRule="auto"/>
        <w:rPr>
          <w:rFonts w:ascii="Times New Roman" w:hAnsi="Times New Roman"/>
          <w:szCs w:val="22"/>
        </w:rPr>
      </w:pPr>
      <w:r w:rsidRPr="0052681F">
        <w:rPr>
          <w:rFonts w:ascii="Times New Roman" w:hAnsi="Times New Roman"/>
          <w:noProof/>
        </w:rPr>
        <w:t xml:space="preserve">Anderson, K. M. (2007). Tips for Teaching: Differentiating Instruction to Include All </w:t>
      </w:r>
      <w:r w:rsidRPr="0052681F">
        <w:rPr>
          <w:rFonts w:ascii="Times New Roman" w:hAnsi="Times New Roman"/>
          <w:noProof/>
        </w:rPr>
        <w:tab/>
        <w:t xml:space="preserve">Students. </w:t>
      </w:r>
      <w:r w:rsidRPr="0052681F">
        <w:rPr>
          <w:rFonts w:ascii="Times New Roman" w:hAnsi="Times New Roman"/>
          <w:i/>
          <w:noProof/>
        </w:rPr>
        <w:t>Preventing School Failure, 51</w:t>
      </w:r>
      <w:r w:rsidRPr="0052681F">
        <w:rPr>
          <w:rFonts w:ascii="Times New Roman" w:hAnsi="Times New Roman"/>
          <w:noProof/>
        </w:rPr>
        <w:t>(3), 49-54.</w:t>
      </w:r>
    </w:p>
    <w:p w:rsidR="00F61182" w:rsidRPr="0052681F" w:rsidRDefault="007921FE" w:rsidP="0052681F">
      <w:pPr>
        <w:spacing w:line="360" w:lineRule="auto"/>
        <w:rPr>
          <w:rFonts w:ascii="Times New Roman" w:hAnsi="Times New Roman"/>
          <w:szCs w:val="22"/>
        </w:rPr>
      </w:pPr>
      <w:r w:rsidRPr="0052681F">
        <w:rPr>
          <w:rFonts w:ascii="Times New Roman" w:hAnsi="Times New Roman"/>
          <w:noProof/>
        </w:rPr>
        <w:t xml:space="preserve">Arthur, J., and Cremin, T. (2010). </w:t>
      </w:r>
      <w:r w:rsidRPr="0052681F">
        <w:rPr>
          <w:rFonts w:ascii="Times New Roman" w:hAnsi="Times New Roman"/>
          <w:i/>
          <w:noProof/>
        </w:rPr>
        <w:t xml:space="preserve">Learning to teach in the primary school.(2nd, edn.). </w:t>
      </w:r>
      <w:r w:rsidR="00F61182" w:rsidRPr="0052681F">
        <w:rPr>
          <w:rFonts w:ascii="Times New Roman" w:hAnsi="Times New Roman"/>
          <w:i/>
          <w:noProof/>
        </w:rPr>
        <w:tab/>
      </w:r>
      <w:r w:rsidRPr="0052681F">
        <w:rPr>
          <w:rFonts w:ascii="Times New Roman" w:hAnsi="Times New Roman"/>
          <w:noProof/>
        </w:rPr>
        <w:t>Milton Park, Abingdon, Oxon OX14 4RN; Routledge.</w:t>
      </w:r>
      <w:r w:rsidR="00863253" w:rsidRPr="0052681F">
        <w:rPr>
          <w:rFonts w:ascii="Times New Roman" w:hAnsi="Times New Roman"/>
          <w:szCs w:val="22"/>
        </w:rPr>
        <w:t xml:space="preserve"> </w:t>
      </w:r>
    </w:p>
    <w:p w:rsidR="00F61182" w:rsidRPr="0052681F" w:rsidRDefault="00F61182" w:rsidP="0052681F">
      <w:pPr>
        <w:spacing w:line="360" w:lineRule="auto"/>
        <w:rPr>
          <w:rFonts w:ascii="Times New Roman" w:hAnsi="Times New Roman"/>
          <w:i/>
        </w:rPr>
      </w:pPr>
      <w:r w:rsidRPr="0052681F">
        <w:rPr>
          <w:rFonts w:ascii="Times New Roman" w:hAnsi="Times New Roman"/>
        </w:rPr>
        <w:t xml:space="preserve">Tomlinson, C, A., &amp; McTighe, J. (2006). </w:t>
      </w:r>
      <w:r w:rsidRPr="0052681F">
        <w:rPr>
          <w:rFonts w:ascii="Times New Roman" w:hAnsi="Times New Roman"/>
          <w:i/>
        </w:rPr>
        <w:t>Integrating Differentiated Instruction and</w:t>
      </w:r>
    </w:p>
    <w:p w:rsidR="009678D5" w:rsidRPr="0052681F" w:rsidRDefault="00F61182" w:rsidP="0052681F">
      <w:pPr>
        <w:spacing w:line="360" w:lineRule="auto"/>
        <w:rPr>
          <w:rFonts w:ascii="Times New Roman" w:hAnsi="Times New Roman"/>
          <w:i/>
        </w:rPr>
      </w:pPr>
      <w:r w:rsidRPr="0052681F">
        <w:rPr>
          <w:rFonts w:ascii="Times New Roman" w:hAnsi="Times New Roman"/>
          <w:i/>
        </w:rPr>
        <w:tab/>
      </w:r>
      <w:r w:rsidR="000F2675" w:rsidRPr="0052681F">
        <w:rPr>
          <w:rFonts w:ascii="Times New Roman" w:hAnsi="Times New Roman"/>
          <w:i/>
        </w:rPr>
        <w:t>Understanding</w:t>
      </w:r>
      <w:r w:rsidRPr="0052681F">
        <w:rPr>
          <w:rFonts w:ascii="Times New Roman" w:hAnsi="Times New Roman"/>
          <w:i/>
        </w:rPr>
        <w:t xml:space="preserve"> by design. </w:t>
      </w:r>
      <w:r w:rsidRPr="0052681F">
        <w:rPr>
          <w:rFonts w:ascii="Times New Roman" w:hAnsi="Times New Roman"/>
        </w:rPr>
        <w:t xml:space="preserve">Alexandria, Virginia USA: Association for </w:t>
      </w:r>
      <w:r w:rsidRPr="0052681F">
        <w:rPr>
          <w:rFonts w:ascii="Times New Roman" w:hAnsi="Times New Roman"/>
        </w:rPr>
        <w:tab/>
        <w:t xml:space="preserve">supervision and curriculum development. </w:t>
      </w:r>
      <w:r w:rsidRPr="0052681F">
        <w:rPr>
          <w:rFonts w:ascii="Times New Roman" w:hAnsi="Times New Roman"/>
          <w:i/>
        </w:rPr>
        <w:t xml:space="preserve"> </w:t>
      </w:r>
    </w:p>
    <w:p w:rsidR="0049567F" w:rsidRPr="0052681F" w:rsidRDefault="0049567F" w:rsidP="0052681F">
      <w:pPr>
        <w:spacing w:line="360" w:lineRule="auto"/>
        <w:rPr>
          <w:rFonts w:ascii="Times New Roman" w:hAnsi="Times New Roman"/>
        </w:rPr>
      </w:pPr>
      <w:r w:rsidRPr="0052681F">
        <w:rPr>
          <w:rFonts w:ascii="Times New Roman" w:hAnsi="Times New Roman"/>
        </w:rPr>
        <w:t xml:space="preserve">Missett, T, C., Brunner, M, M., Callahan, B, M., Moon, T, R., &amp; Azano, A, P. (2014). </w:t>
      </w:r>
      <w:r w:rsidRPr="0052681F">
        <w:rPr>
          <w:rFonts w:ascii="Times New Roman" w:hAnsi="Times New Roman"/>
        </w:rPr>
        <w:tab/>
      </w:r>
      <w:r w:rsidRPr="0052681F">
        <w:rPr>
          <w:rFonts w:ascii="Times New Roman" w:hAnsi="Times New Roman"/>
          <w:i/>
        </w:rPr>
        <w:t xml:space="preserve">Exploring Teacher beliefs and use of acceleration, ability grouping and </w:t>
      </w:r>
      <w:r w:rsidRPr="0052681F">
        <w:rPr>
          <w:rFonts w:ascii="Times New Roman" w:hAnsi="Times New Roman"/>
          <w:i/>
        </w:rPr>
        <w:tab/>
        <w:t xml:space="preserve">Formative Assessment. </w:t>
      </w:r>
      <w:r w:rsidRPr="0052681F">
        <w:rPr>
          <w:rFonts w:ascii="Times New Roman" w:hAnsi="Times New Roman"/>
        </w:rPr>
        <w:t>Journal For The Education Of The Gifted, 37(3), 245-</w:t>
      </w:r>
      <w:r w:rsidR="00433033" w:rsidRPr="0052681F">
        <w:rPr>
          <w:rFonts w:ascii="Times New Roman" w:hAnsi="Times New Roman"/>
        </w:rPr>
        <w:tab/>
      </w:r>
      <w:r w:rsidRPr="0052681F">
        <w:rPr>
          <w:rFonts w:ascii="Times New Roman" w:hAnsi="Times New Roman"/>
        </w:rPr>
        <w:t>268. doi:10.1177/0162353214541326</w:t>
      </w:r>
      <w:r w:rsidR="00433033" w:rsidRPr="0052681F">
        <w:rPr>
          <w:rFonts w:ascii="Times New Roman" w:hAnsi="Times New Roman"/>
        </w:rPr>
        <w:t xml:space="preserve">. </w:t>
      </w:r>
    </w:p>
    <w:p w:rsidR="00CF2E5E" w:rsidRDefault="009678D5" w:rsidP="0052681F">
      <w:pPr>
        <w:spacing w:line="360" w:lineRule="auto"/>
        <w:rPr>
          <w:rFonts w:ascii="Times New Roman" w:hAnsi="Times New Roman"/>
          <w:szCs w:val="22"/>
        </w:rPr>
      </w:pPr>
      <w:r w:rsidRPr="0052681F">
        <w:rPr>
          <w:rFonts w:ascii="Times New Roman" w:hAnsi="Times New Roman"/>
        </w:rPr>
        <w:t>University of Southern Queensland. (2014</w:t>
      </w:r>
      <w:r w:rsidR="00D465AE" w:rsidRPr="0052681F">
        <w:rPr>
          <w:rFonts w:ascii="Times New Roman" w:hAnsi="Times New Roman"/>
        </w:rPr>
        <w:t xml:space="preserve">). </w:t>
      </w:r>
      <w:r w:rsidR="00D465AE" w:rsidRPr="0052681F">
        <w:rPr>
          <w:rFonts w:ascii="Times New Roman" w:hAnsi="Times New Roman"/>
          <w:i/>
        </w:rPr>
        <w:t>Professional Experience Report</w:t>
      </w:r>
      <w:r w:rsidR="00D465AE" w:rsidRPr="0052681F">
        <w:rPr>
          <w:rFonts w:ascii="Times New Roman" w:hAnsi="Times New Roman"/>
          <w:szCs w:val="22"/>
        </w:rPr>
        <w:t xml:space="preserve">: </w:t>
      </w:r>
      <w:r w:rsidR="00D465AE" w:rsidRPr="0052681F">
        <w:rPr>
          <w:rFonts w:ascii="Times New Roman" w:hAnsi="Times New Roman"/>
          <w:szCs w:val="22"/>
        </w:rPr>
        <w:tab/>
      </w:r>
      <w:r w:rsidR="00D465AE" w:rsidRPr="0052681F">
        <w:rPr>
          <w:rFonts w:ascii="Times New Roman" w:hAnsi="Times New Roman"/>
          <w:i/>
          <w:szCs w:val="22"/>
        </w:rPr>
        <w:t xml:space="preserve">Semester 2, EDP3333. </w:t>
      </w:r>
      <w:r w:rsidR="00D465AE" w:rsidRPr="0052681F">
        <w:rPr>
          <w:rFonts w:ascii="Times New Roman" w:hAnsi="Times New Roman"/>
          <w:szCs w:val="22"/>
        </w:rPr>
        <w:t xml:space="preserve">AITSL. National professional standards for teachers </w:t>
      </w:r>
      <w:r w:rsidR="008840AC">
        <w:rPr>
          <w:rFonts w:ascii="Times New Roman" w:hAnsi="Times New Roman"/>
          <w:szCs w:val="22"/>
        </w:rPr>
        <w:tab/>
      </w:r>
      <w:r w:rsidR="00D465AE" w:rsidRPr="0052681F">
        <w:rPr>
          <w:rFonts w:ascii="Times New Roman" w:hAnsi="Times New Roman"/>
          <w:szCs w:val="22"/>
        </w:rPr>
        <w:t xml:space="preserve">Standard 5: Assess, provide feedback and report on student learning. </w:t>
      </w:r>
    </w:p>
    <w:p w:rsidR="001E6D6A" w:rsidRPr="0052681F" w:rsidRDefault="00CF2E5E" w:rsidP="0052681F">
      <w:pPr>
        <w:spacing w:line="360" w:lineRule="auto"/>
        <w:rPr>
          <w:rFonts w:ascii="Times New Roman" w:hAnsi="Times New Roman"/>
          <w:szCs w:val="22"/>
        </w:rPr>
      </w:pPr>
      <w:r>
        <w:rPr>
          <w:rFonts w:ascii="Times New Roman" w:hAnsi="Times New Roman"/>
          <w:szCs w:val="22"/>
        </w:rPr>
        <w:t xml:space="preserve">Van de Walle, J, A., Karp, K, S., &amp; Bay-Williams, J, M. (2013). </w:t>
      </w:r>
      <w:r w:rsidR="00C24544">
        <w:rPr>
          <w:rFonts w:ascii="Times New Roman" w:hAnsi="Times New Roman"/>
          <w:i/>
          <w:szCs w:val="22"/>
        </w:rPr>
        <w:t xml:space="preserve">Elementary and </w:t>
      </w:r>
      <w:r w:rsidR="00C24544">
        <w:rPr>
          <w:rFonts w:ascii="Times New Roman" w:hAnsi="Times New Roman"/>
          <w:i/>
          <w:szCs w:val="22"/>
        </w:rPr>
        <w:tab/>
        <w:t xml:space="preserve">Middle School </w:t>
      </w:r>
      <w:r>
        <w:rPr>
          <w:rFonts w:ascii="Times New Roman" w:hAnsi="Times New Roman"/>
          <w:i/>
          <w:szCs w:val="22"/>
        </w:rPr>
        <w:t>Mathematics</w:t>
      </w:r>
      <w:r w:rsidR="00C24544">
        <w:rPr>
          <w:rFonts w:ascii="Times New Roman" w:hAnsi="Times New Roman"/>
          <w:i/>
          <w:szCs w:val="22"/>
        </w:rPr>
        <w:t>:</w:t>
      </w:r>
      <w:r>
        <w:rPr>
          <w:rFonts w:ascii="Times New Roman" w:hAnsi="Times New Roman"/>
          <w:i/>
          <w:szCs w:val="22"/>
        </w:rPr>
        <w:t xml:space="preserve"> Teaching </w:t>
      </w:r>
      <w:r w:rsidR="00C24544">
        <w:rPr>
          <w:rFonts w:ascii="Times New Roman" w:hAnsi="Times New Roman"/>
          <w:i/>
          <w:szCs w:val="22"/>
        </w:rPr>
        <w:t>Developmentally</w:t>
      </w:r>
      <w:r>
        <w:rPr>
          <w:rFonts w:ascii="Times New Roman" w:hAnsi="Times New Roman"/>
          <w:i/>
          <w:szCs w:val="22"/>
        </w:rPr>
        <w:t xml:space="preserve">. </w:t>
      </w:r>
      <w:r>
        <w:rPr>
          <w:rFonts w:ascii="Times New Roman" w:hAnsi="Times New Roman"/>
          <w:szCs w:val="22"/>
        </w:rPr>
        <w:t xml:space="preserve"> </w:t>
      </w:r>
      <w:r w:rsidR="00C24544">
        <w:rPr>
          <w:rFonts w:ascii="Times New Roman" w:hAnsi="Times New Roman"/>
          <w:szCs w:val="22"/>
        </w:rPr>
        <w:t xml:space="preserve">Upper Saddle River </w:t>
      </w:r>
      <w:r w:rsidR="00C24544">
        <w:rPr>
          <w:rFonts w:ascii="Times New Roman" w:hAnsi="Times New Roman"/>
          <w:szCs w:val="22"/>
        </w:rPr>
        <w:tab/>
        <w:t xml:space="preserve">New Jersey: Pearson. </w:t>
      </w:r>
      <w:r w:rsidR="001E6D6A" w:rsidRPr="0052681F">
        <w:rPr>
          <w:rFonts w:ascii="Times New Roman" w:hAnsi="Times New Roman"/>
          <w:szCs w:val="22"/>
        </w:rPr>
        <w:br w:type="page"/>
        <w:t>Teaching critical and creative thinking</w:t>
      </w:r>
      <w:r w:rsidR="009E6459">
        <w:rPr>
          <w:rFonts w:ascii="Times New Roman" w:hAnsi="Times New Roman"/>
          <w:szCs w:val="22"/>
        </w:rPr>
        <w:t>.</w:t>
      </w:r>
    </w:p>
    <w:p w:rsidR="001463DA" w:rsidRDefault="001463DA" w:rsidP="001463DA">
      <w:pPr>
        <w:spacing w:line="360" w:lineRule="auto"/>
        <w:rPr>
          <w:rFonts w:ascii="Times New Roman" w:hAnsi="Times New Roman"/>
          <w:szCs w:val="22"/>
        </w:rPr>
      </w:pPr>
      <w:r>
        <w:rPr>
          <w:rFonts w:ascii="Times New Roman" w:hAnsi="Times New Roman"/>
          <w:szCs w:val="22"/>
        </w:rPr>
        <w:t>When a person is 'thinking' they are trying to manipulate internal symbols in a meaningful way i.e. to make meaning</w:t>
      </w:r>
      <w:r w:rsidRPr="00062321">
        <w:rPr>
          <w:rFonts w:ascii="Times New Roman" w:hAnsi="Times New Roman"/>
          <w:szCs w:val="22"/>
        </w:rPr>
        <w:t xml:space="preserve"> </w:t>
      </w:r>
      <w:r>
        <w:rPr>
          <w:rFonts w:ascii="Times New Roman" w:hAnsi="Times New Roman"/>
          <w:szCs w:val="22"/>
        </w:rPr>
        <w:t xml:space="preserve">(Jensen, 2014, p.142).  Marzano (1993) believes that there are three major categories in which the techniques of critical thinking strategies can be placed. These categories include questioning and writing techniques as well as general information processing strategies. According to Marzano (1993) teachers classify questions as recitation and construction questions. </w:t>
      </w:r>
    </w:p>
    <w:p w:rsidR="001463DA" w:rsidRDefault="001463DA" w:rsidP="001463DA">
      <w:pPr>
        <w:spacing w:line="360" w:lineRule="auto"/>
        <w:rPr>
          <w:rFonts w:ascii="Times New Roman" w:hAnsi="Times New Roman"/>
          <w:szCs w:val="22"/>
        </w:rPr>
      </w:pPr>
      <w:r>
        <w:rPr>
          <w:rFonts w:ascii="Times New Roman" w:hAnsi="Times New Roman"/>
          <w:szCs w:val="22"/>
        </w:rPr>
        <w:t xml:space="preserve">Recitation requires the student to retrieve previous learning and construction questions call for the students to construct new knowledge (Marzano, 1993). Jensen (2014) accepts as true that a critically thinking person will ask appropriate questions to efficiently gather relevant information and then logically and creatively sort through the information which will lead them to reliable and trustworthy conclusions about the problem.  </w:t>
      </w:r>
    </w:p>
    <w:p w:rsidR="001463DA" w:rsidRPr="0003703C" w:rsidRDefault="00F24C0D" w:rsidP="001463DA">
      <w:pPr>
        <w:spacing w:line="360" w:lineRule="auto"/>
        <w:rPr>
          <w:rFonts w:ascii="Times New Roman" w:hAnsi="Times New Roman"/>
          <w:szCs w:val="22"/>
        </w:rPr>
      </w:pPr>
      <w:r>
        <w:rPr>
          <w:rFonts w:ascii="Times New Roman" w:hAnsi="Times New Roman"/>
          <w:szCs w:val="22"/>
        </w:rPr>
        <w:t>Wait time</w:t>
      </w:r>
      <w:r w:rsidR="001463DA">
        <w:rPr>
          <w:rFonts w:ascii="Times New Roman" w:hAnsi="Times New Roman"/>
          <w:szCs w:val="22"/>
        </w:rPr>
        <w:t xml:space="preserve"> according to Marzano </w:t>
      </w:r>
      <w:r>
        <w:rPr>
          <w:rFonts w:ascii="Times New Roman" w:hAnsi="Times New Roman"/>
          <w:szCs w:val="22"/>
        </w:rPr>
        <w:t xml:space="preserve">(1993) is </w:t>
      </w:r>
      <w:r w:rsidR="001463DA">
        <w:rPr>
          <w:rFonts w:ascii="Times New Roman" w:hAnsi="Times New Roman"/>
          <w:szCs w:val="22"/>
        </w:rPr>
        <w:t>closely related to questioning and because it is easy and simple to implement it appears to be an effective technique and although it is a necessary system of questioning it is insufficient on its'</w:t>
      </w:r>
      <w:r>
        <w:rPr>
          <w:rFonts w:ascii="Times New Roman" w:hAnsi="Times New Roman"/>
          <w:szCs w:val="22"/>
        </w:rPr>
        <w:t xml:space="preserve"> own. During my prac plac</w:t>
      </w:r>
      <w:r w:rsidR="00C87E83">
        <w:rPr>
          <w:rFonts w:ascii="Times New Roman" w:hAnsi="Times New Roman"/>
          <w:szCs w:val="22"/>
        </w:rPr>
        <w:t>ement I used this strategy some</w:t>
      </w:r>
      <w:r>
        <w:rPr>
          <w:rFonts w:ascii="Times New Roman" w:hAnsi="Times New Roman"/>
          <w:szCs w:val="22"/>
        </w:rPr>
        <w:t xml:space="preserve">what effectively with the learners and in particular </w:t>
      </w:r>
      <w:r w:rsidR="00C87E83">
        <w:rPr>
          <w:rFonts w:ascii="Times New Roman" w:hAnsi="Times New Roman"/>
          <w:szCs w:val="22"/>
        </w:rPr>
        <w:t>the young boy who was working at a year one level. I would pre warn him that I was going to ask him a question to engage his listening skills, come back to him with a question framed specifically to meet his cognitive ability and then give him the opportunity to think about his answer then provide his response. This strategy was effective for most of the students however this particular more often then not forgo</w:t>
      </w:r>
      <w:r w:rsidR="00B23D03">
        <w:rPr>
          <w:rFonts w:ascii="Times New Roman" w:hAnsi="Times New Roman"/>
          <w:szCs w:val="22"/>
        </w:rPr>
        <w:t xml:space="preserve">t the question. Writing the question down for him next time would be a good strategy. </w:t>
      </w:r>
      <w:r w:rsidR="001463DA">
        <w:rPr>
          <w:rFonts w:ascii="Times New Roman" w:hAnsi="Times New Roman"/>
          <w:szCs w:val="22"/>
        </w:rPr>
        <w:t xml:space="preserve">My teacher mentor regularly referred to my questioning technique as very good. She believed that I did an excellent job of drawing previously learned information from the students memory banks, making connections to the new information and making real world sense of it all </w:t>
      </w:r>
      <w:r w:rsidR="001463DA" w:rsidRPr="0052681F">
        <w:rPr>
          <w:rFonts w:ascii="Times New Roman" w:hAnsi="Times New Roman"/>
          <w:szCs w:val="22"/>
        </w:rPr>
        <w:t>(Professional experience report, 2014).</w:t>
      </w:r>
      <w:r w:rsidR="001463DA">
        <w:rPr>
          <w:rFonts w:ascii="Times New Roman" w:hAnsi="Times New Roman"/>
          <w:szCs w:val="22"/>
        </w:rPr>
        <w:t xml:space="preserve"> </w:t>
      </w:r>
    </w:p>
    <w:p w:rsidR="001463DA" w:rsidRDefault="001463DA" w:rsidP="001463DA">
      <w:pPr>
        <w:spacing w:line="360" w:lineRule="auto"/>
      </w:pPr>
      <w:r>
        <w:t xml:space="preserve">One way I could improve my teaching is to implement the THINK framework; </w:t>
      </w:r>
      <w:r w:rsidRPr="00D66D0D">
        <w:rPr>
          <w:i/>
        </w:rPr>
        <w:t>T</w:t>
      </w:r>
      <w:r w:rsidRPr="00D66D0D">
        <w:t>alk</w:t>
      </w:r>
      <w:r>
        <w:t xml:space="preserve"> about the problem; </w:t>
      </w:r>
      <w:r>
        <w:rPr>
          <w:i/>
        </w:rPr>
        <w:t>H</w:t>
      </w:r>
      <w:r>
        <w:t xml:space="preserve">ow can it be solved? </w:t>
      </w:r>
      <w:r>
        <w:rPr>
          <w:i/>
        </w:rPr>
        <w:t>I</w:t>
      </w:r>
      <w:r w:rsidRPr="00D66D0D">
        <w:t>dentify a strategy to solve the problem;</w:t>
      </w:r>
      <w:r>
        <w:t xml:space="preserve"> </w:t>
      </w:r>
      <w:r w:rsidRPr="00D66D0D">
        <w:rPr>
          <w:i/>
        </w:rPr>
        <w:t>N</w:t>
      </w:r>
      <w:r>
        <w:t xml:space="preserve">otice how your strategy helped solve the problem; </w:t>
      </w:r>
      <w:r w:rsidRPr="00D66D0D">
        <w:rPr>
          <w:i/>
        </w:rPr>
        <w:t>K</w:t>
      </w:r>
      <w:r>
        <w:t>eep thinking about the problem. Does it make sense? (Van de Walle, Karp, &amp; Bay-Williams, 2013, p. 45). This framework would likely provide a more challenging environment for the students to learn in, which according to Jensen (2014) will activate the students' brains thinking muscles. It is important to note that this challenging environment requires an equal amount of challenge and support if an ideal learning situation is to flourish</w:t>
      </w:r>
      <w:r w:rsidRPr="005C7DC6">
        <w:t xml:space="preserve"> </w:t>
      </w:r>
      <w:r>
        <w:t>and it can be expected that a corresponding rise in student motivation will also occur (Jensen, 2014).</w:t>
      </w:r>
    </w:p>
    <w:p w:rsidR="001463DA" w:rsidRDefault="001463DA" w:rsidP="001463DA">
      <w:pPr>
        <w:spacing w:line="360" w:lineRule="auto"/>
      </w:pPr>
      <w:r>
        <w:t xml:space="preserve">Metacognition according to Westwood (2007) is having the capacity to think about your own thought processes. This self-management of thinking empowers the learner to recognise when they are doing well or are having difficulty with their learning (Westwood, 2007). This is a component of my pedagogy, as well as giving thought to the students' metacognitive processes requires attention.  Westwood (2007) suggests that as learners we can monitor our own performance with mental activities such as pre-planning, monitoring, regulating, evaluating and modifying our responses to learning. Westwood (2007) espouses the belief that many learning problems are related to inefficient use of metacognition. </w:t>
      </w:r>
    </w:p>
    <w:p w:rsidR="001463DA" w:rsidRDefault="001463DA" w:rsidP="001463DA">
      <w:pPr>
        <w:spacing w:line="360" w:lineRule="auto"/>
      </w:pPr>
      <w:r>
        <w:t xml:space="preserve">Larkin (2010) suggests it is not easy for the teacher to recognise whether or not students are engaged in cognitive or metacognitive processes, so how do I activate the learners thinking processes? Larkin (2010) posits that it is virtually impossible unless learners are encouraged to talk about and discuss their thinking; therefore I need to implement strategies to engage students in metacognitive processes in the planning phase of my pedagogy which will help to enact this strategy. </w:t>
      </w:r>
    </w:p>
    <w:p w:rsidR="001463DA" w:rsidRDefault="001463DA" w:rsidP="001463DA">
      <w:pPr>
        <w:spacing w:line="360" w:lineRule="auto"/>
      </w:pPr>
      <w:r>
        <w:t xml:space="preserve">In order for thoughtful inquiry to transpire Wilks (2005) suggests that we avoid Teacher controlled question answer sessions, which are developed around matter we as Teachers have chosen. Wilks (2005) believes that a cognitive experience, which will involve the learners in responding to their own ideas, is best practice. </w:t>
      </w:r>
    </w:p>
    <w:p w:rsidR="00062321" w:rsidRDefault="00754338" w:rsidP="0052681F">
      <w:pPr>
        <w:spacing w:line="360" w:lineRule="auto"/>
        <w:rPr>
          <w:rFonts w:ascii="Times New Roman" w:hAnsi="Times New Roman"/>
        </w:rPr>
      </w:pPr>
      <w:r>
        <w:rPr>
          <w:rFonts w:ascii="Times New Roman" w:hAnsi="Times New Roman"/>
          <w:szCs w:val="22"/>
        </w:rPr>
        <w:t xml:space="preserve">In the context of my pedagogy during my practical experience my development of critical thinking skills to engage the students was </w:t>
      </w:r>
      <w:r w:rsidR="00FC4A19">
        <w:rPr>
          <w:rFonts w:ascii="Times New Roman" w:hAnsi="Times New Roman"/>
          <w:szCs w:val="22"/>
        </w:rPr>
        <w:t>in</w:t>
      </w:r>
      <w:r w:rsidR="00823C3A">
        <w:rPr>
          <w:rFonts w:ascii="Times New Roman" w:hAnsi="Times New Roman"/>
          <w:szCs w:val="22"/>
        </w:rPr>
        <w:t xml:space="preserve"> my view and the opinion of my T</w:t>
      </w:r>
      <w:r w:rsidR="00FC4A19">
        <w:rPr>
          <w:rFonts w:ascii="Times New Roman" w:hAnsi="Times New Roman"/>
          <w:szCs w:val="22"/>
        </w:rPr>
        <w:t>eacher mentor</w:t>
      </w:r>
      <w:r w:rsidR="00823C3A">
        <w:rPr>
          <w:rFonts w:ascii="Times New Roman" w:hAnsi="Times New Roman"/>
          <w:szCs w:val="22"/>
        </w:rPr>
        <w:t>,</w:t>
      </w:r>
      <w:r w:rsidR="00FC4A19">
        <w:rPr>
          <w:rFonts w:ascii="Times New Roman" w:hAnsi="Times New Roman"/>
          <w:szCs w:val="22"/>
        </w:rPr>
        <w:t xml:space="preserve"> excellent. I set out to develop an outline of my lesson plan and rarely find that I can stick to it like glue. The reason for this is in my mind clear. Although the objectives of my lesson/ unit of work remain</w:t>
      </w:r>
      <w:r w:rsidR="00823C3A">
        <w:rPr>
          <w:rFonts w:ascii="Times New Roman" w:hAnsi="Times New Roman"/>
          <w:szCs w:val="22"/>
        </w:rPr>
        <w:t>,</w:t>
      </w:r>
      <w:r w:rsidR="00FC4A19">
        <w:rPr>
          <w:rFonts w:ascii="Times New Roman" w:hAnsi="Times New Roman"/>
          <w:szCs w:val="22"/>
        </w:rPr>
        <w:t xml:space="preserve"> </w:t>
      </w:r>
      <w:r w:rsidR="00823C3A">
        <w:rPr>
          <w:rFonts w:ascii="Times New Roman" w:hAnsi="Times New Roman"/>
          <w:szCs w:val="22"/>
        </w:rPr>
        <w:t xml:space="preserve">the direction of the lesson depends almost entirely on the learners and their capacity to make meaning of the intended content. Their questions direct the lesson on the way. </w:t>
      </w:r>
      <w:r w:rsidR="002E38A2">
        <w:rPr>
          <w:rFonts w:ascii="Times New Roman" w:hAnsi="Times New Roman"/>
          <w:szCs w:val="22"/>
        </w:rPr>
        <w:t xml:space="preserve">The objective of the mass lesson was to introduce new units of measurement and for the learners to understand </w:t>
      </w:r>
      <w:r w:rsidR="009D09A8">
        <w:rPr>
          <w:rFonts w:ascii="Times New Roman" w:hAnsi="Times New Roman"/>
          <w:szCs w:val="22"/>
        </w:rPr>
        <w:t>that kilograms and grams are used to measure mass and that other units of measurement such as ce</w:t>
      </w:r>
      <w:r w:rsidR="004E692C">
        <w:rPr>
          <w:rFonts w:ascii="Times New Roman" w:hAnsi="Times New Roman"/>
          <w:szCs w:val="22"/>
        </w:rPr>
        <w:t>ntimetres and metres are used to measure distance.</w:t>
      </w:r>
      <w:r w:rsidR="009D09A8">
        <w:rPr>
          <w:rFonts w:ascii="Times New Roman" w:hAnsi="Times New Roman"/>
          <w:szCs w:val="22"/>
        </w:rPr>
        <w:t xml:space="preserve"> </w:t>
      </w:r>
      <w:r w:rsidR="00823C3A">
        <w:rPr>
          <w:rFonts w:ascii="Times New Roman" w:hAnsi="Times New Roman"/>
          <w:szCs w:val="22"/>
        </w:rPr>
        <w:t>For instance</w:t>
      </w:r>
      <w:r w:rsidR="007219EE">
        <w:rPr>
          <w:rFonts w:ascii="Times New Roman" w:hAnsi="Times New Roman"/>
          <w:szCs w:val="22"/>
        </w:rPr>
        <w:t xml:space="preserve">, I introduced kilograms and grams as units of measurement and the majority of learners were of the understanding that I could only use meters and centimetres to measure things. </w:t>
      </w:r>
      <w:r w:rsidR="002E38A2">
        <w:rPr>
          <w:rFonts w:ascii="Times New Roman" w:hAnsi="Times New Roman"/>
          <w:szCs w:val="22"/>
        </w:rPr>
        <w:t>We used our rulers to measure the length, wid</w:t>
      </w:r>
      <w:r w:rsidR="009D09A8">
        <w:rPr>
          <w:rFonts w:ascii="Times New Roman" w:hAnsi="Times New Roman"/>
          <w:szCs w:val="22"/>
        </w:rPr>
        <w:t>th and height of a standard one-</w:t>
      </w:r>
      <w:r w:rsidR="002E38A2">
        <w:rPr>
          <w:rFonts w:ascii="Times New Roman" w:hAnsi="Times New Roman"/>
          <w:szCs w:val="22"/>
        </w:rPr>
        <w:t xml:space="preserve">kilogram weight and from this unplanned activity the learners determined these measurements did not tell us the mass of an object and therefore we should use an alternative unit of measurement. </w:t>
      </w:r>
      <w:r w:rsidR="004E692C">
        <w:rPr>
          <w:rFonts w:ascii="Times New Roman" w:hAnsi="Times New Roman"/>
          <w:szCs w:val="22"/>
        </w:rPr>
        <w:t xml:space="preserve">The lesson progressed and we learned how to use balance scales; we used trouser hangers and plastic bags at first and then </w:t>
      </w:r>
      <w:r w:rsidR="001E1198">
        <w:rPr>
          <w:rFonts w:ascii="Times New Roman" w:hAnsi="Times New Roman"/>
          <w:szCs w:val="22"/>
        </w:rPr>
        <w:t>purpose built balance scales to compare items of our choice. After our hands on activity the learners were asked what surprised them. This question led to lengthy discussions centred o</w:t>
      </w:r>
      <w:r w:rsidR="001A13C9">
        <w:rPr>
          <w:rFonts w:ascii="Times New Roman" w:hAnsi="Times New Roman"/>
          <w:szCs w:val="22"/>
        </w:rPr>
        <w:t xml:space="preserve">n this aspect of their learning. One of the major issues I have to overcome is time management. I would constantly have to steal time from lessons following because the learners were so interested in sharing their findings and understandings. </w:t>
      </w:r>
      <w:r w:rsidR="00CE1865" w:rsidRPr="0052681F">
        <w:rPr>
          <w:rFonts w:ascii="Times New Roman" w:hAnsi="Times New Roman"/>
        </w:rPr>
        <w:br w:type="page"/>
      </w:r>
      <w:r w:rsidR="008E4865">
        <w:rPr>
          <w:rFonts w:ascii="Times New Roman" w:hAnsi="Times New Roman"/>
        </w:rPr>
        <w:t xml:space="preserve">References for Teaching Critical and Creative Thinking. </w:t>
      </w:r>
    </w:p>
    <w:p w:rsidR="008E4865" w:rsidRDefault="008E4865" w:rsidP="0052681F">
      <w:pPr>
        <w:spacing w:line="360" w:lineRule="auto"/>
        <w:rPr>
          <w:rFonts w:ascii="Times New Roman" w:hAnsi="Times New Roman"/>
        </w:rPr>
      </w:pPr>
    </w:p>
    <w:p w:rsidR="00062321" w:rsidRDefault="008B1731" w:rsidP="0052681F">
      <w:pPr>
        <w:spacing w:line="360" w:lineRule="auto"/>
        <w:rPr>
          <w:rFonts w:ascii="Times New Roman" w:hAnsi="Times New Roman"/>
        </w:rPr>
      </w:pPr>
      <w:r>
        <w:rPr>
          <w:rFonts w:ascii="Times New Roman" w:hAnsi="Times New Roman"/>
        </w:rPr>
        <w:t xml:space="preserve">Jensen. (2014). </w:t>
      </w:r>
      <w:r w:rsidR="00FB6730">
        <w:rPr>
          <w:rFonts w:ascii="Times New Roman" w:hAnsi="Times New Roman"/>
        </w:rPr>
        <w:t xml:space="preserve">Teaching how to think. (pp. 141-153). Retrieved from </w:t>
      </w:r>
      <w:r w:rsidR="00FB6730">
        <w:rPr>
          <w:rFonts w:ascii="Times New Roman" w:hAnsi="Times New Roman"/>
        </w:rPr>
        <w:tab/>
      </w:r>
      <w:hyperlink r:id="rId8" w:history="1">
        <w:r w:rsidR="00062321" w:rsidRPr="00062321">
          <w:rPr>
            <w:rStyle w:val="Hyperlink"/>
            <w:rFonts w:ascii="Times New Roman" w:hAnsi="Times New Roman"/>
          </w:rPr>
          <w:t>http://usqstudydesk.usq.edu.au/m2/pluginfile.php/409286/mod_resource/conte</w:t>
        </w:r>
        <w:r w:rsidR="00062321" w:rsidRPr="00062321">
          <w:rPr>
            <w:rStyle w:val="Hyperlink"/>
            <w:rFonts w:ascii="Times New Roman" w:hAnsi="Times New Roman"/>
            <w:u w:val="none"/>
          </w:rPr>
          <w:tab/>
        </w:r>
        <w:r w:rsidR="00062321" w:rsidRPr="00062321">
          <w:rPr>
            <w:rStyle w:val="Hyperlink"/>
            <w:rFonts w:ascii="Times New Roman" w:hAnsi="Times New Roman"/>
          </w:rPr>
          <w:t>nt/1/Jensen Teaching how to think.pdf</w:t>
        </w:r>
      </w:hyperlink>
    </w:p>
    <w:p w:rsidR="00062321" w:rsidRPr="00163785" w:rsidRDefault="00163785" w:rsidP="0052681F">
      <w:pPr>
        <w:spacing w:line="360" w:lineRule="auto"/>
        <w:rPr>
          <w:rFonts w:ascii="Times New Roman" w:hAnsi="Times New Roman"/>
        </w:rPr>
      </w:pPr>
      <w:r>
        <w:rPr>
          <w:rFonts w:ascii="Times New Roman" w:hAnsi="Times New Roman"/>
        </w:rPr>
        <w:t xml:space="preserve">Larkin, S. (2010). </w:t>
      </w:r>
      <w:r>
        <w:rPr>
          <w:rFonts w:ascii="Times New Roman" w:hAnsi="Times New Roman"/>
          <w:i/>
        </w:rPr>
        <w:t xml:space="preserve">Metacognition in young children. </w:t>
      </w:r>
      <w:r>
        <w:rPr>
          <w:rFonts w:ascii="Times New Roman" w:hAnsi="Times New Roman"/>
        </w:rPr>
        <w:t xml:space="preserve"> </w:t>
      </w:r>
      <w:r w:rsidR="00B833E6">
        <w:rPr>
          <w:rFonts w:ascii="Times New Roman" w:hAnsi="Times New Roman"/>
        </w:rPr>
        <w:t xml:space="preserve">Milton Park, Abingdon, Oxon </w:t>
      </w:r>
      <w:r w:rsidR="00B833E6">
        <w:rPr>
          <w:rFonts w:ascii="Times New Roman" w:hAnsi="Times New Roman"/>
        </w:rPr>
        <w:tab/>
        <w:t xml:space="preserve">OX 14 4RN: Routledge. </w:t>
      </w:r>
    </w:p>
    <w:p w:rsidR="008678B9" w:rsidRDefault="008E4865" w:rsidP="0052681F">
      <w:pPr>
        <w:spacing w:line="360" w:lineRule="auto"/>
        <w:rPr>
          <w:rFonts w:ascii="Times New Roman" w:hAnsi="Times New Roman"/>
        </w:rPr>
      </w:pPr>
      <w:r w:rsidRPr="008E4865">
        <w:rPr>
          <w:rFonts w:ascii="Times New Roman" w:hAnsi="Times New Roman"/>
        </w:rPr>
        <w:t xml:space="preserve">Marzano, R. J. (1993). How classroom teachers approach the teaching of </w:t>
      </w:r>
      <w:r>
        <w:rPr>
          <w:rFonts w:ascii="Times New Roman" w:hAnsi="Times New Roman"/>
        </w:rPr>
        <w:tab/>
      </w:r>
      <w:r w:rsidRPr="008E4865">
        <w:rPr>
          <w:rFonts w:ascii="Times New Roman" w:hAnsi="Times New Roman"/>
        </w:rPr>
        <w:t>thinking. </w:t>
      </w:r>
      <w:r w:rsidRPr="008E4865">
        <w:rPr>
          <w:rFonts w:ascii="Times New Roman" w:hAnsi="Times New Roman"/>
          <w:i/>
        </w:rPr>
        <w:t>Theory Into Practice</w:t>
      </w:r>
      <w:r w:rsidRPr="008E4865">
        <w:rPr>
          <w:rFonts w:ascii="Times New Roman" w:hAnsi="Times New Roman"/>
        </w:rPr>
        <w:t>, </w:t>
      </w:r>
      <w:r w:rsidRPr="008E4865">
        <w:rPr>
          <w:rFonts w:ascii="Times New Roman" w:hAnsi="Times New Roman"/>
          <w:i/>
        </w:rPr>
        <w:t>32</w:t>
      </w:r>
      <w:r w:rsidRPr="008E4865">
        <w:rPr>
          <w:rFonts w:ascii="Times New Roman" w:hAnsi="Times New Roman"/>
        </w:rPr>
        <w:t>(3), 154.</w:t>
      </w:r>
      <w:r w:rsidR="00971B97">
        <w:rPr>
          <w:rFonts w:ascii="Times New Roman" w:hAnsi="Times New Roman"/>
        </w:rPr>
        <w:t xml:space="preserve"> </w:t>
      </w:r>
      <w:r w:rsidR="00062321">
        <w:rPr>
          <w:rFonts w:ascii="Times New Roman" w:hAnsi="Times New Roman"/>
        </w:rPr>
        <w:t xml:space="preserve">Retrieved from </w:t>
      </w:r>
      <w:r w:rsidR="00062321">
        <w:rPr>
          <w:rFonts w:ascii="Times New Roman" w:hAnsi="Times New Roman"/>
        </w:rPr>
        <w:tab/>
      </w:r>
      <w:hyperlink r:id="rId9" w:history="1">
        <w:r w:rsidR="00971B97" w:rsidRPr="00062321">
          <w:rPr>
            <w:rStyle w:val="Hyperlink"/>
            <w:rFonts w:ascii="Times New Roman" w:hAnsi="Times New Roman"/>
          </w:rPr>
          <w:t>http://web.a.ebscohost.com.ezproxy.usq.edu.au/ehost/pdfviewer/pdfviewer?vi</w:t>
        </w:r>
        <w:r w:rsidR="00062321" w:rsidRPr="00062321">
          <w:rPr>
            <w:rStyle w:val="Hyperlink"/>
            <w:rFonts w:ascii="Times New Roman" w:hAnsi="Times New Roman"/>
            <w:u w:val="none"/>
          </w:rPr>
          <w:tab/>
        </w:r>
        <w:r w:rsidR="00971B97" w:rsidRPr="00062321">
          <w:rPr>
            <w:rStyle w:val="Hyperlink"/>
            <w:rFonts w:ascii="Times New Roman" w:hAnsi="Times New Roman"/>
          </w:rPr>
          <w:t>d=10&amp;sid=7d21c55b-9428-48e6-aaf6-</w:t>
        </w:r>
        <w:r w:rsidR="00062321" w:rsidRPr="00062321">
          <w:rPr>
            <w:rStyle w:val="Hyperlink"/>
            <w:rFonts w:ascii="Times New Roman" w:hAnsi="Times New Roman"/>
            <w:u w:val="none"/>
          </w:rPr>
          <w:tab/>
        </w:r>
        <w:r w:rsidR="00971B97" w:rsidRPr="00062321">
          <w:rPr>
            <w:rStyle w:val="Hyperlink"/>
            <w:rFonts w:ascii="Times New Roman" w:hAnsi="Times New Roman"/>
          </w:rPr>
          <w:t>e522ed7ea33c%40sessionmgr4004&amp;hid=4204</w:t>
        </w:r>
      </w:hyperlink>
    </w:p>
    <w:p w:rsidR="00062321" w:rsidRDefault="00062321" w:rsidP="0052681F">
      <w:pPr>
        <w:spacing w:line="360" w:lineRule="auto"/>
        <w:rPr>
          <w:rFonts w:ascii="Times New Roman" w:hAnsi="Times New Roman"/>
        </w:rPr>
      </w:pPr>
    </w:p>
    <w:p w:rsidR="00575C6D" w:rsidRDefault="008678B9" w:rsidP="0052681F">
      <w:pPr>
        <w:spacing w:line="360" w:lineRule="auto"/>
        <w:rPr>
          <w:rFonts w:ascii="Times New Roman" w:hAnsi="Times New Roman"/>
          <w:szCs w:val="22"/>
        </w:rPr>
      </w:pPr>
      <w:r w:rsidRPr="0052681F">
        <w:rPr>
          <w:rFonts w:ascii="Times New Roman" w:hAnsi="Times New Roman"/>
        </w:rPr>
        <w:t xml:space="preserve">University of Southern Queensland. (2014). </w:t>
      </w:r>
      <w:r w:rsidRPr="0052681F">
        <w:rPr>
          <w:rFonts w:ascii="Times New Roman" w:hAnsi="Times New Roman"/>
          <w:i/>
        </w:rPr>
        <w:t>Professional Experience Report</w:t>
      </w:r>
      <w:r w:rsidRPr="0052681F">
        <w:rPr>
          <w:rFonts w:ascii="Times New Roman" w:hAnsi="Times New Roman"/>
          <w:szCs w:val="22"/>
        </w:rPr>
        <w:t xml:space="preserve">: </w:t>
      </w:r>
      <w:r w:rsidRPr="0052681F">
        <w:rPr>
          <w:rFonts w:ascii="Times New Roman" w:hAnsi="Times New Roman"/>
          <w:szCs w:val="22"/>
        </w:rPr>
        <w:tab/>
      </w:r>
      <w:r w:rsidRPr="0052681F">
        <w:rPr>
          <w:rFonts w:ascii="Times New Roman" w:hAnsi="Times New Roman"/>
          <w:i/>
          <w:szCs w:val="22"/>
        </w:rPr>
        <w:t xml:space="preserve">Semester 2, EDP3333. </w:t>
      </w:r>
      <w:r w:rsidRPr="0052681F">
        <w:rPr>
          <w:rFonts w:ascii="Times New Roman" w:hAnsi="Times New Roman"/>
          <w:szCs w:val="22"/>
        </w:rPr>
        <w:t xml:space="preserve">AITSL. National professional standards for teachers </w:t>
      </w:r>
      <w:r>
        <w:rPr>
          <w:rFonts w:ascii="Times New Roman" w:hAnsi="Times New Roman"/>
          <w:szCs w:val="22"/>
        </w:rPr>
        <w:tab/>
        <w:t>Standard 1</w:t>
      </w:r>
      <w:r w:rsidRPr="0052681F">
        <w:rPr>
          <w:rFonts w:ascii="Times New Roman" w:hAnsi="Times New Roman"/>
          <w:szCs w:val="22"/>
        </w:rPr>
        <w:t xml:space="preserve">: </w:t>
      </w:r>
      <w:r>
        <w:rPr>
          <w:rFonts w:ascii="Times New Roman" w:hAnsi="Times New Roman"/>
          <w:szCs w:val="22"/>
        </w:rPr>
        <w:t>Know students and how they learn</w:t>
      </w:r>
      <w:r w:rsidRPr="0052681F">
        <w:rPr>
          <w:rFonts w:ascii="Times New Roman" w:hAnsi="Times New Roman"/>
          <w:szCs w:val="22"/>
        </w:rPr>
        <w:t xml:space="preserve">. </w:t>
      </w:r>
    </w:p>
    <w:p w:rsidR="00575C6D" w:rsidRDefault="00575C6D" w:rsidP="0052681F">
      <w:pPr>
        <w:spacing w:line="360" w:lineRule="auto"/>
        <w:rPr>
          <w:rFonts w:ascii="Times New Roman" w:hAnsi="Times New Roman"/>
          <w:szCs w:val="22"/>
        </w:rPr>
      </w:pPr>
    </w:p>
    <w:p w:rsidR="001D4692" w:rsidRDefault="00575C6D" w:rsidP="0052681F">
      <w:pPr>
        <w:spacing w:line="360" w:lineRule="auto"/>
      </w:pPr>
      <w:r w:rsidRPr="0052681F">
        <w:t xml:space="preserve">Westwood, P. (2007). </w:t>
      </w:r>
      <w:r w:rsidRPr="0052681F">
        <w:rPr>
          <w:i/>
        </w:rPr>
        <w:t>Common sense methods for children with special</w:t>
      </w:r>
      <w:r>
        <w:rPr>
          <w:i/>
        </w:rPr>
        <w:t xml:space="preserve"> </w:t>
      </w:r>
      <w:r>
        <w:rPr>
          <w:i/>
        </w:rPr>
        <w:tab/>
        <w:t>educational</w:t>
      </w:r>
      <w:r w:rsidRPr="0052681F">
        <w:rPr>
          <w:i/>
        </w:rPr>
        <w:t xml:space="preserve"> needs. </w:t>
      </w:r>
      <w:r w:rsidRPr="0052681F">
        <w:t>New York: Routledge.</w:t>
      </w:r>
      <w:r w:rsidRPr="0052681F">
        <w:rPr>
          <w:highlight w:val="yellow"/>
        </w:rPr>
        <w:t xml:space="preserve"> </w:t>
      </w:r>
    </w:p>
    <w:p w:rsidR="008A0642" w:rsidRPr="00115F61" w:rsidRDefault="001D4692" w:rsidP="00115F61">
      <w:pPr>
        <w:spacing w:line="360" w:lineRule="auto"/>
      </w:pPr>
      <w:r>
        <w:t xml:space="preserve">Wilks, S. (2005). </w:t>
      </w:r>
      <w:r w:rsidRPr="001D4692">
        <w:rPr>
          <w:i/>
        </w:rPr>
        <w:t>Designing a Thinking Curriculum</w:t>
      </w:r>
      <w:r>
        <w:rPr>
          <w:i/>
        </w:rPr>
        <w:t xml:space="preserve">. </w:t>
      </w:r>
      <w:r>
        <w:t>Retrieved from</w:t>
      </w:r>
      <w:r>
        <w:rPr>
          <w:i/>
        </w:rPr>
        <w:t xml:space="preserve"> </w:t>
      </w:r>
      <w:r w:rsidR="007776A6">
        <w:rPr>
          <w:i/>
        </w:rPr>
        <w:tab/>
      </w:r>
      <w:hyperlink r:id="rId10" w:history="1">
        <w:r w:rsidRPr="001D4692">
          <w:rPr>
            <w:rStyle w:val="Hyperlink"/>
            <w:rFonts w:ascii="Times New Roman" w:hAnsi="Times New Roman"/>
          </w:rPr>
          <w:t>http://search.informit.com.au/fullText;dn=321175932790759;res=IELHSS</w:t>
        </w:r>
      </w:hyperlink>
    </w:p>
    <w:p w:rsidR="008A0642" w:rsidRPr="0052681F" w:rsidRDefault="008A0642" w:rsidP="0052681F">
      <w:pPr>
        <w:pStyle w:val="Default"/>
        <w:spacing w:line="360" w:lineRule="auto"/>
        <w:ind w:left="142"/>
        <w:rPr>
          <w:highlight w:val="yellow"/>
          <w:lang w:val="en-AU"/>
        </w:rPr>
      </w:pPr>
    </w:p>
    <w:p w:rsidR="008A0642" w:rsidRPr="0052681F" w:rsidRDefault="008A0642" w:rsidP="0052681F">
      <w:pPr>
        <w:pStyle w:val="Default"/>
        <w:spacing w:line="360" w:lineRule="auto"/>
        <w:ind w:left="142"/>
        <w:rPr>
          <w:highlight w:val="yellow"/>
          <w:lang w:val="en-AU"/>
        </w:rPr>
      </w:pPr>
    </w:p>
    <w:p w:rsidR="008A0642" w:rsidRPr="0052681F" w:rsidRDefault="008A0642" w:rsidP="0052681F">
      <w:pPr>
        <w:spacing w:line="360" w:lineRule="auto"/>
        <w:rPr>
          <w:rFonts w:ascii="Times New Roman" w:hAnsi="Times New Roman"/>
          <w:i/>
          <w:iCs/>
          <w:szCs w:val="22"/>
        </w:rPr>
      </w:pPr>
    </w:p>
    <w:p w:rsidR="008323EB" w:rsidRPr="0052681F" w:rsidRDefault="008323EB" w:rsidP="0052681F">
      <w:pPr>
        <w:spacing w:line="360" w:lineRule="auto"/>
        <w:rPr>
          <w:rFonts w:ascii="Times New Roman" w:hAnsi="Times New Roman"/>
        </w:rPr>
      </w:pPr>
    </w:p>
    <w:sectPr w:rsidR="008323EB" w:rsidRPr="0052681F" w:rsidSect="00FE6943">
      <w:headerReference w:type="default" r:id="rId11"/>
      <w:footerReference w:type="default" r:id="rId12"/>
      <w:pgSz w:w="11900" w:h="16840"/>
      <w:pgMar w:top="1440" w:right="1797" w:bottom="1440" w:left="1797"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E83" w:rsidRDefault="00C87E83">
      <w:r>
        <w:separator/>
      </w:r>
    </w:p>
  </w:endnote>
  <w:endnote w:type="continuationSeparator" w:id="0">
    <w:p w:rsidR="00C87E83" w:rsidRDefault="00C87E8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75" w:rsidRDefault="00C87E83" w:rsidP="0027748F">
    <w:pPr>
      <w:pStyle w:val="Footer"/>
      <w:jc w:val="center"/>
    </w:pPr>
    <w:r>
      <w:t xml:space="preserve">Stephen Druery. </w:t>
    </w:r>
    <w:r w:rsidR="000F2675">
      <w:t xml:space="preserve">Assignment 1; </w:t>
    </w:r>
    <w:r>
      <w:t>EDP3333. Curriculum and</w:t>
    </w:r>
    <w:r w:rsidR="000F2675">
      <w:t xml:space="preserve"> Pedagogy 3. </w:t>
    </w:r>
  </w:p>
  <w:p w:rsidR="00C87E83" w:rsidRDefault="000F2675" w:rsidP="0027748F">
    <w:pPr>
      <w:pStyle w:val="Footer"/>
      <w:jc w:val="center"/>
    </w:pPr>
    <w:r>
      <w:t xml:space="preserve">Semester 2, 2014. </w:t>
    </w:r>
    <w:r w:rsidR="00C87E83">
      <w:t>On Campus Springfield.</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E83" w:rsidRDefault="00C87E83">
      <w:r>
        <w:separator/>
      </w:r>
    </w:p>
  </w:footnote>
  <w:footnote w:type="continuationSeparator" w:id="0">
    <w:p w:rsidR="00C87E83" w:rsidRDefault="00C87E8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83" w:rsidRDefault="00C87E83">
    <w:pPr>
      <w:pStyle w:val="Header"/>
    </w:pP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53A14"/>
    <w:multiLevelType w:val="hybridMultilevel"/>
    <w:tmpl w:val="9424A338"/>
    <w:lvl w:ilvl="0" w:tplc="7C38D1DE">
      <w:start w:val="1"/>
      <w:numFmt w:val="bullet"/>
      <w:lvlText w:val=""/>
      <w:lvlJc w:val="left"/>
      <w:pPr>
        <w:ind w:left="502"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activeWritingStyle w:appName="MSWord" w:lang="en-AU" w:vendorID="64" w:dllVersion="131078" w:nlCheck="1" w:checkStyle="1"/>
  <w:activeWritingStyle w:appName="MSWord" w:lang="en-US" w:vendorID="64" w:dllVersion="131078" w:nlCheck="1" w:checkStyle="1"/>
  <w:proofState w:spelling="clean" w:grammar="clean"/>
  <w:defaultTabStop w:val="720"/>
  <w:drawingGridHorizontalSpacing w:val="357"/>
  <w:drawingGridVerticalSpacing w:val="357"/>
  <w:displayHorizontalDrawingGridEvery w:val="0"/>
  <w:doNotUseMarginsForDrawingGridOrigin/>
  <w:drawingGridHorizontalOrigin w:val="1797"/>
  <w:drawingGridVerticalOrigin w:val="0"/>
  <w:characterSpacingControl w:val="doNotCompress"/>
  <w:savePreviewPicture/>
  <w:footnotePr>
    <w:footnote w:id="-1"/>
    <w:footnote w:id="0"/>
  </w:footnotePr>
  <w:endnotePr>
    <w:endnote w:id="-1"/>
    <w:endnote w:id="0"/>
  </w:endnotePr>
  <w:compat/>
  <w:docVars>
    <w:docVar w:name="EN.InstantFormat" w:val="&lt;ENInstantFormat&gt;&lt;Enabled&gt;1&lt;/Enabled&gt;&lt;ScanUnformatted&gt;0&lt;/ScanUnformatted&gt;&lt;ScanChanges&gt;0&lt;/ScanChanges&gt;&lt;Suspended&gt;1&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323EB"/>
    <w:rsid w:val="00004696"/>
    <w:rsid w:val="0003703C"/>
    <w:rsid w:val="00054151"/>
    <w:rsid w:val="00057ECC"/>
    <w:rsid w:val="00062321"/>
    <w:rsid w:val="000860C3"/>
    <w:rsid w:val="0009553E"/>
    <w:rsid w:val="000A7AF0"/>
    <w:rsid w:val="000B6905"/>
    <w:rsid w:val="000D777A"/>
    <w:rsid w:val="000F1573"/>
    <w:rsid w:val="000F1C27"/>
    <w:rsid w:val="000F2675"/>
    <w:rsid w:val="00106587"/>
    <w:rsid w:val="001122C7"/>
    <w:rsid w:val="00115F61"/>
    <w:rsid w:val="001251EC"/>
    <w:rsid w:val="00134755"/>
    <w:rsid w:val="001442BB"/>
    <w:rsid w:val="001463DA"/>
    <w:rsid w:val="00157EC5"/>
    <w:rsid w:val="00163785"/>
    <w:rsid w:val="001730F5"/>
    <w:rsid w:val="001956A6"/>
    <w:rsid w:val="001A13C9"/>
    <w:rsid w:val="001B3B2A"/>
    <w:rsid w:val="001C7EA9"/>
    <w:rsid w:val="001D4692"/>
    <w:rsid w:val="001E1198"/>
    <w:rsid w:val="001E6D6A"/>
    <w:rsid w:val="001F70EB"/>
    <w:rsid w:val="00201DF5"/>
    <w:rsid w:val="00217B7D"/>
    <w:rsid w:val="00232F3B"/>
    <w:rsid w:val="00263754"/>
    <w:rsid w:val="0027748F"/>
    <w:rsid w:val="00292D10"/>
    <w:rsid w:val="002930ED"/>
    <w:rsid w:val="002960B0"/>
    <w:rsid w:val="002A6A4F"/>
    <w:rsid w:val="002B46E6"/>
    <w:rsid w:val="002D606D"/>
    <w:rsid w:val="002E38A2"/>
    <w:rsid w:val="002F5A91"/>
    <w:rsid w:val="0030620C"/>
    <w:rsid w:val="00322C81"/>
    <w:rsid w:val="003715A3"/>
    <w:rsid w:val="00372EAE"/>
    <w:rsid w:val="003772D9"/>
    <w:rsid w:val="00386C6D"/>
    <w:rsid w:val="00391B8B"/>
    <w:rsid w:val="003A2D5A"/>
    <w:rsid w:val="003B1705"/>
    <w:rsid w:val="003C1697"/>
    <w:rsid w:val="003C3C6D"/>
    <w:rsid w:val="003C3CE5"/>
    <w:rsid w:val="003D052C"/>
    <w:rsid w:val="004232CE"/>
    <w:rsid w:val="00433033"/>
    <w:rsid w:val="00461141"/>
    <w:rsid w:val="0049567F"/>
    <w:rsid w:val="004C2ED2"/>
    <w:rsid w:val="004E692C"/>
    <w:rsid w:val="0050242B"/>
    <w:rsid w:val="00514E52"/>
    <w:rsid w:val="0052681F"/>
    <w:rsid w:val="00537638"/>
    <w:rsid w:val="00556AA2"/>
    <w:rsid w:val="00574A6D"/>
    <w:rsid w:val="00575C6D"/>
    <w:rsid w:val="00575E09"/>
    <w:rsid w:val="005A3AD1"/>
    <w:rsid w:val="005A6374"/>
    <w:rsid w:val="005B32B6"/>
    <w:rsid w:val="005C55C3"/>
    <w:rsid w:val="005C7DC6"/>
    <w:rsid w:val="0060500F"/>
    <w:rsid w:val="006250EE"/>
    <w:rsid w:val="00655F8C"/>
    <w:rsid w:val="00661322"/>
    <w:rsid w:val="006620A4"/>
    <w:rsid w:val="00662B93"/>
    <w:rsid w:val="00676E35"/>
    <w:rsid w:val="0067730C"/>
    <w:rsid w:val="006E6CB9"/>
    <w:rsid w:val="006E7DC2"/>
    <w:rsid w:val="006F781A"/>
    <w:rsid w:val="007219EE"/>
    <w:rsid w:val="00754338"/>
    <w:rsid w:val="00776F10"/>
    <w:rsid w:val="007776A6"/>
    <w:rsid w:val="007921FE"/>
    <w:rsid w:val="007945F9"/>
    <w:rsid w:val="007965FF"/>
    <w:rsid w:val="007A0792"/>
    <w:rsid w:val="007B4B98"/>
    <w:rsid w:val="007E09B8"/>
    <w:rsid w:val="007E2075"/>
    <w:rsid w:val="007F489F"/>
    <w:rsid w:val="00822361"/>
    <w:rsid w:val="00823C3A"/>
    <w:rsid w:val="008259BC"/>
    <w:rsid w:val="00826720"/>
    <w:rsid w:val="008323EB"/>
    <w:rsid w:val="00850A48"/>
    <w:rsid w:val="00863253"/>
    <w:rsid w:val="008678B9"/>
    <w:rsid w:val="008756F5"/>
    <w:rsid w:val="008840AC"/>
    <w:rsid w:val="0089713F"/>
    <w:rsid w:val="008976AC"/>
    <w:rsid w:val="008A0642"/>
    <w:rsid w:val="008A26E7"/>
    <w:rsid w:val="008B0FCB"/>
    <w:rsid w:val="008B1731"/>
    <w:rsid w:val="008C4C2E"/>
    <w:rsid w:val="008D6D5E"/>
    <w:rsid w:val="008E4865"/>
    <w:rsid w:val="008F256F"/>
    <w:rsid w:val="009045D2"/>
    <w:rsid w:val="00911D4B"/>
    <w:rsid w:val="009161E0"/>
    <w:rsid w:val="009678D5"/>
    <w:rsid w:val="0097088B"/>
    <w:rsid w:val="00971B97"/>
    <w:rsid w:val="009925A6"/>
    <w:rsid w:val="009C1F29"/>
    <w:rsid w:val="009D09A8"/>
    <w:rsid w:val="009D38A9"/>
    <w:rsid w:val="009E3B25"/>
    <w:rsid w:val="009E6459"/>
    <w:rsid w:val="009F375B"/>
    <w:rsid w:val="00A02C08"/>
    <w:rsid w:val="00A1041F"/>
    <w:rsid w:val="00A54D3E"/>
    <w:rsid w:val="00A610AA"/>
    <w:rsid w:val="00A67471"/>
    <w:rsid w:val="00A70F4C"/>
    <w:rsid w:val="00A909B4"/>
    <w:rsid w:val="00AC13AE"/>
    <w:rsid w:val="00AD7B19"/>
    <w:rsid w:val="00AE273E"/>
    <w:rsid w:val="00B04040"/>
    <w:rsid w:val="00B05C40"/>
    <w:rsid w:val="00B11AFE"/>
    <w:rsid w:val="00B23D03"/>
    <w:rsid w:val="00B609D9"/>
    <w:rsid w:val="00B718AA"/>
    <w:rsid w:val="00B833E6"/>
    <w:rsid w:val="00BA68A9"/>
    <w:rsid w:val="00BC3C4C"/>
    <w:rsid w:val="00BD0A39"/>
    <w:rsid w:val="00BF3378"/>
    <w:rsid w:val="00C207F0"/>
    <w:rsid w:val="00C24544"/>
    <w:rsid w:val="00C430B9"/>
    <w:rsid w:val="00C479FB"/>
    <w:rsid w:val="00C56C71"/>
    <w:rsid w:val="00C82069"/>
    <w:rsid w:val="00C877B4"/>
    <w:rsid w:val="00C87E83"/>
    <w:rsid w:val="00C96D07"/>
    <w:rsid w:val="00CC04E2"/>
    <w:rsid w:val="00CD2699"/>
    <w:rsid w:val="00CE1865"/>
    <w:rsid w:val="00CE24A0"/>
    <w:rsid w:val="00CF2E5E"/>
    <w:rsid w:val="00D10B5D"/>
    <w:rsid w:val="00D26291"/>
    <w:rsid w:val="00D44DFB"/>
    <w:rsid w:val="00D45CFA"/>
    <w:rsid w:val="00D465AE"/>
    <w:rsid w:val="00D6691F"/>
    <w:rsid w:val="00D66D0D"/>
    <w:rsid w:val="00D74177"/>
    <w:rsid w:val="00D80949"/>
    <w:rsid w:val="00D821A6"/>
    <w:rsid w:val="00D8538D"/>
    <w:rsid w:val="00D866D7"/>
    <w:rsid w:val="00D872B6"/>
    <w:rsid w:val="00D96FB4"/>
    <w:rsid w:val="00DA30A3"/>
    <w:rsid w:val="00DC4EBC"/>
    <w:rsid w:val="00DD6FD8"/>
    <w:rsid w:val="00DE401B"/>
    <w:rsid w:val="00DF162B"/>
    <w:rsid w:val="00DF16B0"/>
    <w:rsid w:val="00DF74B0"/>
    <w:rsid w:val="00E12000"/>
    <w:rsid w:val="00E243AD"/>
    <w:rsid w:val="00E3192D"/>
    <w:rsid w:val="00E31EAA"/>
    <w:rsid w:val="00E35B5F"/>
    <w:rsid w:val="00E42174"/>
    <w:rsid w:val="00E60735"/>
    <w:rsid w:val="00E66042"/>
    <w:rsid w:val="00E73DF8"/>
    <w:rsid w:val="00E7488E"/>
    <w:rsid w:val="00EA5E14"/>
    <w:rsid w:val="00EB0A78"/>
    <w:rsid w:val="00ED4B6F"/>
    <w:rsid w:val="00EE34B4"/>
    <w:rsid w:val="00F24C0D"/>
    <w:rsid w:val="00F3691B"/>
    <w:rsid w:val="00F52FCE"/>
    <w:rsid w:val="00F61182"/>
    <w:rsid w:val="00F65296"/>
    <w:rsid w:val="00F748B4"/>
    <w:rsid w:val="00F947A5"/>
    <w:rsid w:val="00FA01EB"/>
    <w:rsid w:val="00FA6767"/>
    <w:rsid w:val="00FB3DE5"/>
    <w:rsid w:val="00FB6730"/>
    <w:rsid w:val="00FC4A19"/>
    <w:rsid w:val="00FC7FD2"/>
    <w:rsid w:val="00FD423F"/>
    <w:rsid w:val="00FE5FAF"/>
    <w:rsid w:val="00FE6943"/>
  </w:rsids>
  <m:mathPr>
    <m:mathFont m:val="Lucida Grande"/>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US" w:bidi="ar-SA"/>
      </w:rPr>
    </w:rPrDefault>
    <w:pPrDefault/>
  </w:docDefaults>
  <w:latentStyles w:defLockedState="0" w:defUIPriority="0" w:defSemiHidden="0" w:defUnhideWhenUsed="0" w:defQFormat="0" w:count="276"/>
  <w:style w:type="paragraph" w:default="1" w:styleId="Normal">
    <w:name w:val="Normal"/>
    <w:qFormat/>
    <w:rsid w:val="00BF235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uiPriority w:val="99"/>
    <w:semiHidden/>
    <w:unhideWhenUsed/>
    <w:rsid w:val="00AA5407"/>
  </w:style>
  <w:style w:type="paragraph" w:customStyle="1" w:styleId="Default">
    <w:name w:val="Default"/>
    <w:rsid w:val="001E6D6A"/>
    <w:pPr>
      <w:widowControl w:val="0"/>
      <w:autoSpaceDE w:val="0"/>
      <w:autoSpaceDN w:val="0"/>
      <w:adjustRightInd w:val="0"/>
    </w:pPr>
    <w:rPr>
      <w:rFonts w:ascii="Times New Roman" w:hAnsi="Times New Roman"/>
      <w:color w:val="000000"/>
      <w:sz w:val="24"/>
      <w:szCs w:val="24"/>
      <w:lang w:val="en-US"/>
    </w:rPr>
  </w:style>
  <w:style w:type="paragraph" w:styleId="Header">
    <w:name w:val="header"/>
    <w:basedOn w:val="Normal"/>
    <w:link w:val="HeaderChar"/>
    <w:uiPriority w:val="99"/>
    <w:unhideWhenUsed/>
    <w:rsid w:val="00EB0A78"/>
    <w:pPr>
      <w:tabs>
        <w:tab w:val="center" w:pos="4320"/>
        <w:tab w:val="right" w:pos="8640"/>
      </w:tabs>
    </w:pPr>
  </w:style>
  <w:style w:type="character" w:customStyle="1" w:styleId="HeaderChar">
    <w:name w:val="Header Char"/>
    <w:basedOn w:val="DefaultParagraphFont"/>
    <w:link w:val="Header"/>
    <w:uiPriority w:val="99"/>
    <w:rsid w:val="00EB0A78"/>
    <w:rPr>
      <w:lang w:val="en-AU"/>
    </w:rPr>
  </w:style>
  <w:style w:type="paragraph" w:styleId="Footer">
    <w:name w:val="footer"/>
    <w:basedOn w:val="Normal"/>
    <w:link w:val="FooterChar"/>
    <w:uiPriority w:val="99"/>
    <w:unhideWhenUsed/>
    <w:rsid w:val="00EB0A78"/>
    <w:pPr>
      <w:tabs>
        <w:tab w:val="center" w:pos="4320"/>
        <w:tab w:val="right" w:pos="8640"/>
      </w:tabs>
    </w:pPr>
  </w:style>
  <w:style w:type="character" w:customStyle="1" w:styleId="FooterChar">
    <w:name w:val="Footer Char"/>
    <w:basedOn w:val="DefaultParagraphFont"/>
    <w:link w:val="Footer"/>
    <w:uiPriority w:val="99"/>
    <w:rsid w:val="00EB0A78"/>
    <w:rPr>
      <w:lang w:val="en-AU"/>
    </w:rPr>
  </w:style>
  <w:style w:type="paragraph" w:styleId="Revision">
    <w:name w:val="Revision"/>
    <w:hidden/>
    <w:uiPriority w:val="99"/>
    <w:semiHidden/>
    <w:rsid w:val="00FC7FD2"/>
    <w:rPr>
      <w:sz w:val="24"/>
      <w:szCs w:val="24"/>
    </w:rPr>
  </w:style>
  <w:style w:type="paragraph" w:styleId="BalloonText">
    <w:name w:val="Balloon Text"/>
    <w:basedOn w:val="Normal"/>
    <w:link w:val="BalloonTextChar"/>
    <w:uiPriority w:val="99"/>
    <w:semiHidden/>
    <w:unhideWhenUsed/>
    <w:rsid w:val="00FC7F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7FD2"/>
    <w:rPr>
      <w:rFonts w:ascii="Lucida Grande" w:hAnsi="Lucida Grande" w:cs="Lucida Grande"/>
      <w:sz w:val="18"/>
      <w:szCs w:val="18"/>
      <w:lang w:val="en-AU"/>
    </w:rPr>
  </w:style>
  <w:style w:type="character" w:styleId="Hyperlink">
    <w:name w:val="Hyperlink"/>
    <w:basedOn w:val="DefaultParagraphFont"/>
    <w:rsid w:val="00062321"/>
    <w:rPr>
      <w:color w:val="0000FF"/>
      <w:u w:val="single"/>
    </w:rPr>
  </w:style>
  <w:style w:type="character" w:styleId="FollowedHyperlink">
    <w:name w:val="FollowedHyperlink"/>
    <w:basedOn w:val="DefaultParagraphFont"/>
    <w:rsid w:val="001D469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364478">
      <w:bodyDiv w:val="1"/>
      <w:marLeft w:val="0"/>
      <w:marRight w:val="0"/>
      <w:marTop w:val="0"/>
      <w:marBottom w:val="0"/>
      <w:divBdr>
        <w:top w:val="none" w:sz="0" w:space="0" w:color="auto"/>
        <w:left w:val="none" w:sz="0" w:space="0" w:color="auto"/>
        <w:bottom w:val="none" w:sz="0" w:space="0" w:color="auto"/>
        <w:right w:val="none" w:sz="0" w:space="0" w:color="auto"/>
      </w:divBdr>
    </w:div>
    <w:div w:id="525103168">
      <w:bodyDiv w:val="1"/>
      <w:marLeft w:val="0"/>
      <w:marRight w:val="0"/>
      <w:marTop w:val="0"/>
      <w:marBottom w:val="0"/>
      <w:divBdr>
        <w:top w:val="none" w:sz="0" w:space="0" w:color="auto"/>
        <w:left w:val="none" w:sz="0" w:space="0" w:color="auto"/>
        <w:bottom w:val="none" w:sz="0" w:space="0" w:color="auto"/>
        <w:right w:val="none" w:sz="0" w:space="0" w:color="auto"/>
      </w:divBdr>
    </w:div>
    <w:div w:id="605819257">
      <w:bodyDiv w:val="1"/>
      <w:marLeft w:val="0"/>
      <w:marRight w:val="0"/>
      <w:marTop w:val="0"/>
      <w:marBottom w:val="0"/>
      <w:divBdr>
        <w:top w:val="none" w:sz="0" w:space="0" w:color="auto"/>
        <w:left w:val="none" w:sz="0" w:space="0" w:color="auto"/>
        <w:bottom w:val="none" w:sz="0" w:space="0" w:color="auto"/>
        <w:right w:val="none" w:sz="0" w:space="0" w:color="auto"/>
      </w:divBdr>
    </w:div>
    <w:div w:id="1074283563">
      <w:bodyDiv w:val="1"/>
      <w:marLeft w:val="0"/>
      <w:marRight w:val="0"/>
      <w:marTop w:val="0"/>
      <w:marBottom w:val="0"/>
      <w:divBdr>
        <w:top w:val="none" w:sz="0" w:space="0" w:color="auto"/>
        <w:left w:val="none" w:sz="0" w:space="0" w:color="auto"/>
        <w:bottom w:val="none" w:sz="0" w:space="0" w:color="auto"/>
        <w:right w:val="none" w:sz="0" w:space="0" w:color="auto"/>
      </w:divBdr>
    </w:div>
    <w:div w:id="1127507484">
      <w:bodyDiv w:val="1"/>
      <w:marLeft w:val="0"/>
      <w:marRight w:val="0"/>
      <w:marTop w:val="0"/>
      <w:marBottom w:val="0"/>
      <w:divBdr>
        <w:top w:val="none" w:sz="0" w:space="0" w:color="auto"/>
        <w:left w:val="none" w:sz="0" w:space="0" w:color="auto"/>
        <w:bottom w:val="none" w:sz="0" w:space="0" w:color="auto"/>
        <w:right w:val="none" w:sz="0" w:space="0" w:color="auto"/>
      </w:divBdr>
    </w:div>
    <w:div w:id="1239247642">
      <w:bodyDiv w:val="1"/>
      <w:marLeft w:val="0"/>
      <w:marRight w:val="0"/>
      <w:marTop w:val="0"/>
      <w:marBottom w:val="0"/>
      <w:divBdr>
        <w:top w:val="none" w:sz="0" w:space="0" w:color="auto"/>
        <w:left w:val="none" w:sz="0" w:space="0" w:color="auto"/>
        <w:bottom w:val="none" w:sz="0" w:space="0" w:color="auto"/>
        <w:right w:val="none" w:sz="0" w:space="0" w:color="auto"/>
      </w:divBdr>
    </w:div>
    <w:div w:id="1591084256">
      <w:bodyDiv w:val="1"/>
      <w:marLeft w:val="0"/>
      <w:marRight w:val="0"/>
      <w:marTop w:val="0"/>
      <w:marBottom w:val="0"/>
      <w:divBdr>
        <w:top w:val="none" w:sz="0" w:space="0" w:color="auto"/>
        <w:left w:val="none" w:sz="0" w:space="0" w:color="auto"/>
        <w:bottom w:val="none" w:sz="0" w:space="0" w:color="auto"/>
        <w:right w:val="none" w:sz="0" w:space="0" w:color="auto"/>
      </w:divBdr>
      <w:divsChild>
        <w:div w:id="1342856024">
          <w:marLeft w:val="720"/>
          <w:marRight w:val="0"/>
          <w:marTop w:val="0"/>
          <w:marBottom w:val="0"/>
          <w:divBdr>
            <w:top w:val="none" w:sz="0" w:space="0" w:color="auto"/>
            <w:left w:val="none" w:sz="0" w:space="0" w:color="auto"/>
            <w:bottom w:val="none" w:sz="0" w:space="0" w:color="auto"/>
            <w:right w:val="none" w:sz="0" w:space="0" w:color="auto"/>
          </w:divBdr>
        </w:div>
        <w:div w:id="1709404153">
          <w:marLeft w:val="720"/>
          <w:marRight w:val="0"/>
          <w:marTop w:val="0"/>
          <w:marBottom w:val="0"/>
          <w:divBdr>
            <w:top w:val="none" w:sz="0" w:space="0" w:color="auto"/>
            <w:left w:val="none" w:sz="0" w:space="0" w:color="auto"/>
            <w:bottom w:val="none" w:sz="0" w:space="0" w:color="auto"/>
            <w:right w:val="none" w:sz="0" w:space="0" w:color="auto"/>
          </w:divBdr>
        </w:div>
        <w:div w:id="1530529404">
          <w:marLeft w:val="720"/>
          <w:marRight w:val="0"/>
          <w:marTop w:val="0"/>
          <w:marBottom w:val="0"/>
          <w:divBdr>
            <w:top w:val="none" w:sz="0" w:space="0" w:color="auto"/>
            <w:left w:val="none" w:sz="0" w:space="0" w:color="auto"/>
            <w:bottom w:val="none" w:sz="0" w:space="0" w:color="auto"/>
            <w:right w:val="none" w:sz="0" w:space="0" w:color="auto"/>
          </w:divBdr>
        </w:div>
      </w:divsChild>
    </w:div>
    <w:div w:id="1713307787">
      <w:bodyDiv w:val="1"/>
      <w:marLeft w:val="0"/>
      <w:marRight w:val="0"/>
      <w:marTop w:val="0"/>
      <w:marBottom w:val="0"/>
      <w:divBdr>
        <w:top w:val="none" w:sz="0" w:space="0" w:color="auto"/>
        <w:left w:val="none" w:sz="0" w:space="0" w:color="auto"/>
        <w:bottom w:val="none" w:sz="0" w:space="0" w:color="auto"/>
        <w:right w:val="none" w:sz="0" w:space="0" w:color="auto"/>
      </w:divBdr>
    </w:div>
    <w:div w:id="1782528810">
      <w:bodyDiv w:val="1"/>
      <w:marLeft w:val="0"/>
      <w:marRight w:val="0"/>
      <w:marTop w:val="0"/>
      <w:marBottom w:val="0"/>
      <w:divBdr>
        <w:top w:val="none" w:sz="0" w:space="0" w:color="auto"/>
        <w:left w:val="none" w:sz="0" w:space="0" w:color="auto"/>
        <w:bottom w:val="none" w:sz="0" w:space="0" w:color="auto"/>
        <w:right w:val="none" w:sz="0" w:space="0" w:color="auto"/>
      </w:divBdr>
    </w:div>
    <w:div w:id="1835799767">
      <w:bodyDiv w:val="1"/>
      <w:marLeft w:val="0"/>
      <w:marRight w:val="0"/>
      <w:marTop w:val="0"/>
      <w:marBottom w:val="0"/>
      <w:divBdr>
        <w:top w:val="none" w:sz="0" w:space="0" w:color="auto"/>
        <w:left w:val="none" w:sz="0" w:space="0" w:color="auto"/>
        <w:bottom w:val="none" w:sz="0" w:space="0" w:color="auto"/>
        <w:right w:val="none" w:sz="0" w:space="0" w:color="auto"/>
      </w:divBdr>
      <w:divsChild>
        <w:div w:id="796949195">
          <w:marLeft w:val="288"/>
          <w:marRight w:val="0"/>
          <w:marTop w:val="0"/>
          <w:marBottom w:val="0"/>
          <w:divBdr>
            <w:top w:val="none" w:sz="0" w:space="0" w:color="auto"/>
            <w:left w:val="none" w:sz="0" w:space="0" w:color="auto"/>
            <w:bottom w:val="none" w:sz="0" w:space="0" w:color="auto"/>
            <w:right w:val="none" w:sz="0" w:space="0" w:color="auto"/>
          </w:divBdr>
        </w:div>
        <w:div w:id="1601596141">
          <w:marLeft w:val="288"/>
          <w:marRight w:val="0"/>
          <w:marTop w:val="0"/>
          <w:marBottom w:val="0"/>
          <w:divBdr>
            <w:top w:val="none" w:sz="0" w:space="0" w:color="auto"/>
            <w:left w:val="none" w:sz="0" w:space="0" w:color="auto"/>
            <w:bottom w:val="none" w:sz="0" w:space="0" w:color="auto"/>
            <w:right w:val="none" w:sz="0" w:space="0" w:color="auto"/>
          </w:divBdr>
        </w:div>
        <w:div w:id="533688268">
          <w:marLeft w:val="288"/>
          <w:marRight w:val="0"/>
          <w:marTop w:val="0"/>
          <w:marBottom w:val="0"/>
          <w:divBdr>
            <w:top w:val="none" w:sz="0" w:space="0" w:color="auto"/>
            <w:left w:val="none" w:sz="0" w:space="0" w:color="auto"/>
            <w:bottom w:val="none" w:sz="0" w:space="0" w:color="auto"/>
            <w:right w:val="none" w:sz="0" w:space="0" w:color="auto"/>
          </w:divBdr>
        </w:div>
        <w:div w:id="285697568">
          <w:marLeft w:val="288"/>
          <w:marRight w:val="0"/>
          <w:marTop w:val="0"/>
          <w:marBottom w:val="0"/>
          <w:divBdr>
            <w:top w:val="none" w:sz="0" w:space="0" w:color="auto"/>
            <w:left w:val="none" w:sz="0" w:space="0" w:color="auto"/>
            <w:bottom w:val="none" w:sz="0" w:space="0" w:color="auto"/>
            <w:right w:val="none" w:sz="0" w:space="0" w:color="auto"/>
          </w:divBdr>
        </w:div>
        <w:div w:id="2023044112">
          <w:marLeft w:val="288"/>
          <w:marRight w:val="0"/>
          <w:marTop w:val="0"/>
          <w:marBottom w:val="0"/>
          <w:divBdr>
            <w:top w:val="none" w:sz="0" w:space="0" w:color="auto"/>
            <w:left w:val="none" w:sz="0" w:space="0" w:color="auto"/>
            <w:bottom w:val="none" w:sz="0" w:space="0" w:color="auto"/>
            <w:right w:val="none" w:sz="0" w:space="0" w:color="auto"/>
          </w:divBdr>
        </w:div>
      </w:divsChild>
    </w:div>
    <w:div w:id="21109996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usqstudydesk.usq.edu.au/m2/pluginfile.php/409286/mod_resource/conte%09nt/1/Jensen%20Teaching%20how%20to%20think.pdf" TargetMode="External"/><Relationship Id="rId9" Type="http://schemas.openxmlformats.org/officeDocument/2006/relationships/hyperlink" Target="http://web.a.ebscohost.com.ezproxy.usq.edu.au/ehost/pdfviewer/pdfviewer?vi%09d=10&amp;sid=7d21c55b-9428-48e6-aaf6-%09e522ed7ea33c%40sessionmgr4004&amp;hid=4204" TargetMode="External"/><Relationship Id="rId10" Type="http://schemas.openxmlformats.org/officeDocument/2006/relationships/hyperlink" Target="http://search.informit.com.au/fullText;dn=321175932790759;res=IELH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37BB9-8F04-494D-A78B-53F3AB3A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3442</Words>
  <Characters>18710</Characters>
  <Application>Microsoft Macintosh Word</Application>
  <DocSecurity>0</DocSecurity>
  <Lines>317</Lines>
  <Paragraphs>48</Paragraphs>
  <ScaleCrop>false</ScaleCrop>
  <HeadingPairs>
    <vt:vector size="2" baseType="variant">
      <vt:variant>
        <vt:lpstr>Title</vt:lpstr>
      </vt:variant>
      <vt:variant>
        <vt:i4>1</vt:i4>
      </vt:variant>
    </vt:vector>
  </HeadingPairs>
  <TitlesOfParts>
    <vt:vector size="1" baseType="lpstr">
      <vt:lpstr/>
    </vt:vector>
  </TitlesOfParts>
  <Manager/>
  <Company>University of Southern Queensland</Company>
  <LinksUpToDate>false</LinksUpToDate>
  <CharactersWithSpaces>22169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Druery</dc:creator>
  <cp:keywords/>
  <dc:description/>
  <cp:lastModifiedBy>Stephen Druery</cp:lastModifiedBy>
  <cp:revision>2</cp:revision>
  <dcterms:created xsi:type="dcterms:W3CDTF">2014-09-21T08:06:00Z</dcterms:created>
  <dcterms:modified xsi:type="dcterms:W3CDTF">2014-09-21T08:06:00Z</dcterms:modified>
  <cp:category/>
</cp:coreProperties>
</file>