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97" w:rsidRPr="00CB5631" w:rsidRDefault="00590997" w:rsidP="00590997">
      <w:pPr>
        <w:pStyle w:val="Heading1"/>
      </w:pPr>
      <w:r w:rsidRPr="00CB5631">
        <w:t xml:space="preserve">EDC4000 Professional Placement and Portfolio Template 1  </w:t>
      </w:r>
    </w:p>
    <w:p w:rsidR="00590997" w:rsidRPr="00CB5631" w:rsidRDefault="00590997" w:rsidP="00590997">
      <w:pPr>
        <w:pStyle w:val="Title"/>
        <w:rPr>
          <w:color w:val="365F91" w:themeColor="accent1" w:themeShade="BF"/>
          <w:spacing w:val="0"/>
          <w:kern w:val="0"/>
          <w:sz w:val="32"/>
          <w:szCs w:val="32"/>
        </w:rPr>
      </w:pPr>
      <w:r w:rsidRPr="00CB5631">
        <w:rPr>
          <w:color w:val="365F91" w:themeColor="accent1" w:themeShade="BF"/>
          <w:spacing w:val="0"/>
          <w:kern w:val="0"/>
          <w:sz w:val="32"/>
          <w:szCs w:val="32"/>
        </w:rPr>
        <w:t xml:space="preserve">Assignment </w:t>
      </w:r>
      <w:r w:rsidR="00F66E14">
        <w:rPr>
          <w:color w:val="365F91" w:themeColor="accent1" w:themeShade="BF"/>
          <w:spacing w:val="0"/>
          <w:kern w:val="0"/>
          <w:sz w:val="32"/>
          <w:szCs w:val="32"/>
        </w:rPr>
        <w:t>1</w:t>
      </w:r>
      <w:r w:rsidRPr="00CB5631">
        <w:rPr>
          <w:color w:val="365F91" w:themeColor="accent1" w:themeShade="BF"/>
          <w:spacing w:val="0"/>
          <w:kern w:val="0"/>
          <w:sz w:val="32"/>
          <w:szCs w:val="32"/>
        </w:rPr>
        <w:t xml:space="preserve"> Part B - Plan for Remainder of ePortfolio.</w:t>
      </w:r>
      <w:bookmarkStart w:id="0" w:name="_GoBack"/>
      <w:bookmarkEnd w:id="0"/>
    </w:p>
    <w:tbl>
      <w:tblPr>
        <w:tblStyle w:val="TableGrid"/>
        <w:tblpPr w:leftFromText="180" w:rightFromText="180" w:vertAnchor="page" w:horzAnchor="margin" w:tblpY="1486"/>
        <w:tblW w:w="0" w:type="auto"/>
        <w:tblLook w:val="04A0" w:firstRow="1" w:lastRow="0" w:firstColumn="1" w:lastColumn="0" w:noHBand="0" w:noVBand="1"/>
      </w:tblPr>
      <w:tblGrid>
        <w:gridCol w:w="2718"/>
        <w:gridCol w:w="1932"/>
        <w:gridCol w:w="3267"/>
        <w:gridCol w:w="2363"/>
      </w:tblGrid>
      <w:tr w:rsidR="00590997">
        <w:tc>
          <w:tcPr>
            <w:tcW w:w="10054" w:type="dxa"/>
            <w:gridSpan w:val="4"/>
            <w:shd w:val="clear" w:color="auto" w:fill="8DB3E2" w:themeFill="text2" w:themeFillTint="66"/>
          </w:tcPr>
          <w:p w:rsidR="00590997" w:rsidRDefault="00590997" w:rsidP="001B6013">
            <w:pPr>
              <w:rPr>
                <w:rFonts w:ascii="Verdana" w:hAnsi="Verdana"/>
              </w:rPr>
            </w:pPr>
            <w:r>
              <w:rPr>
                <w:rFonts w:ascii="Verdana" w:hAnsi="Verdana"/>
              </w:rPr>
              <w:t>Professional Practice Domain</w:t>
            </w:r>
          </w:p>
        </w:tc>
      </w:tr>
      <w:tr w:rsidR="00590997">
        <w:tc>
          <w:tcPr>
            <w:tcW w:w="2734" w:type="dxa"/>
            <w:shd w:val="clear" w:color="auto" w:fill="B8CCE4" w:themeFill="accent1" w:themeFillTint="66"/>
          </w:tcPr>
          <w:p w:rsidR="00590997" w:rsidRDefault="00590997" w:rsidP="001B6013">
            <w:pPr>
              <w:rPr>
                <w:rFonts w:ascii="Verdana" w:hAnsi="Verdana"/>
              </w:rPr>
            </w:pPr>
            <w:r>
              <w:rPr>
                <w:rFonts w:ascii="Verdana" w:hAnsi="Verdana"/>
              </w:rPr>
              <w:t>Standard</w:t>
            </w:r>
          </w:p>
        </w:tc>
        <w:tc>
          <w:tcPr>
            <w:tcW w:w="1659" w:type="dxa"/>
            <w:shd w:val="clear" w:color="auto" w:fill="B8CCE4" w:themeFill="accent1" w:themeFillTint="66"/>
          </w:tcPr>
          <w:p w:rsidR="00590997" w:rsidRDefault="00590997" w:rsidP="001B6013">
            <w:pPr>
              <w:rPr>
                <w:rFonts w:ascii="Verdana" w:hAnsi="Verdana"/>
              </w:rPr>
            </w:pPr>
            <w:r>
              <w:rPr>
                <w:rFonts w:ascii="Verdana" w:hAnsi="Verdana"/>
              </w:rPr>
              <w:t xml:space="preserve">Focus Areas being addressed </w:t>
            </w:r>
          </w:p>
        </w:tc>
        <w:tc>
          <w:tcPr>
            <w:tcW w:w="3291" w:type="dxa"/>
            <w:shd w:val="clear" w:color="auto" w:fill="B8CCE4" w:themeFill="accent1" w:themeFillTint="66"/>
          </w:tcPr>
          <w:p w:rsidR="00590997" w:rsidRDefault="00590997" w:rsidP="001B6013">
            <w:pPr>
              <w:rPr>
                <w:rFonts w:ascii="Verdana" w:hAnsi="Verdana"/>
              </w:rPr>
            </w:pPr>
            <w:r>
              <w:rPr>
                <w:rFonts w:ascii="Verdana" w:hAnsi="Verdana"/>
              </w:rPr>
              <w:t>Brief description of example (Maximum 50 words)</w:t>
            </w:r>
          </w:p>
        </w:tc>
        <w:tc>
          <w:tcPr>
            <w:tcW w:w="2370" w:type="dxa"/>
            <w:shd w:val="clear" w:color="auto" w:fill="B8CCE4" w:themeFill="accent1" w:themeFillTint="66"/>
          </w:tcPr>
          <w:p w:rsidR="00590997" w:rsidRDefault="00590997" w:rsidP="001B6013">
            <w:pPr>
              <w:rPr>
                <w:rFonts w:ascii="Verdana" w:hAnsi="Verdana"/>
              </w:rPr>
            </w:pPr>
            <w:r>
              <w:rPr>
                <w:rFonts w:ascii="Verdana" w:hAnsi="Verdana"/>
              </w:rPr>
              <w:t>Artefacts to be used</w:t>
            </w:r>
          </w:p>
        </w:tc>
      </w:tr>
      <w:tr w:rsidR="00590997">
        <w:tc>
          <w:tcPr>
            <w:tcW w:w="2734" w:type="dxa"/>
          </w:tcPr>
          <w:p w:rsidR="00590997" w:rsidRDefault="00590997" w:rsidP="001B6013">
            <w:pPr>
              <w:rPr>
                <w:rFonts w:ascii="Verdana" w:hAnsi="Verdana"/>
              </w:rPr>
            </w:pPr>
            <w:r>
              <w:rPr>
                <w:rFonts w:ascii="Verdana" w:hAnsi="Verdana"/>
              </w:rPr>
              <w:t>Standard 3 – Plan for and implement effective teaching and learning.</w:t>
            </w:r>
          </w:p>
        </w:tc>
        <w:tc>
          <w:tcPr>
            <w:tcW w:w="1659" w:type="dxa"/>
          </w:tcPr>
          <w:p w:rsidR="001B6013" w:rsidRDefault="00080772" w:rsidP="001B6013">
            <w:pPr>
              <w:rPr>
                <w:rFonts w:ascii="Verdana" w:hAnsi="Verdana"/>
              </w:rPr>
            </w:pPr>
            <w:r>
              <w:rPr>
                <w:rFonts w:ascii="Verdana" w:hAnsi="Verdana"/>
              </w:rPr>
              <w:t>3.2 Plan structure and sequence learning programs.</w:t>
            </w:r>
            <w:r w:rsidR="00133E0B">
              <w:rPr>
                <w:rFonts w:ascii="Verdana" w:hAnsi="Verdana"/>
              </w:rPr>
              <w:t xml:space="preserve"> </w:t>
            </w:r>
          </w:p>
          <w:p w:rsidR="007F3F31" w:rsidRDefault="007F3F31" w:rsidP="001B6013">
            <w:pPr>
              <w:rPr>
                <w:rFonts w:ascii="Verdana" w:hAnsi="Verdana"/>
              </w:rPr>
            </w:pPr>
          </w:p>
          <w:p w:rsidR="00590997" w:rsidRDefault="001B6013" w:rsidP="00A73B3F">
            <w:pPr>
              <w:rPr>
                <w:rFonts w:ascii="Verdana" w:hAnsi="Verdana"/>
              </w:rPr>
            </w:pPr>
            <w:r>
              <w:rPr>
                <w:rFonts w:ascii="Verdana" w:hAnsi="Verdana"/>
              </w:rPr>
              <w:t>3.</w:t>
            </w:r>
            <w:r w:rsidR="007F3F31">
              <w:rPr>
                <w:rFonts w:ascii="Verdana" w:hAnsi="Verdana"/>
              </w:rPr>
              <w:t>4.</w:t>
            </w:r>
            <w:r w:rsidR="00A73B3F">
              <w:rPr>
                <w:rFonts w:ascii="Verdana" w:hAnsi="Verdana"/>
              </w:rPr>
              <w:t xml:space="preserve"> Select and use resources. </w:t>
            </w:r>
          </w:p>
        </w:tc>
        <w:tc>
          <w:tcPr>
            <w:tcW w:w="3291" w:type="dxa"/>
          </w:tcPr>
          <w:p w:rsidR="00590997" w:rsidRDefault="0072241B" w:rsidP="007F3F31">
            <w:pPr>
              <w:rPr>
                <w:rFonts w:ascii="Verdana" w:hAnsi="Verdana"/>
              </w:rPr>
            </w:pPr>
            <w:r>
              <w:rPr>
                <w:rFonts w:ascii="Verdana" w:hAnsi="Verdana"/>
              </w:rPr>
              <w:t>This unit of work was designed to teach students the concept of measurement</w:t>
            </w:r>
            <w:r w:rsidR="007F3F31">
              <w:rPr>
                <w:rFonts w:ascii="Verdana" w:hAnsi="Verdana"/>
              </w:rPr>
              <w:t xml:space="preserve"> through the use of a self-paced web </w:t>
            </w:r>
            <w:r w:rsidR="00E245A4">
              <w:rPr>
                <w:rFonts w:ascii="Verdana" w:hAnsi="Verdana"/>
              </w:rPr>
              <w:t>based platform</w:t>
            </w:r>
            <w:r w:rsidR="007F3F31">
              <w:rPr>
                <w:rFonts w:ascii="Verdana" w:hAnsi="Verdana"/>
              </w:rPr>
              <w:t>.</w:t>
            </w:r>
            <w:r w:rsidR="000D428A">
              <w:rPr>
                <w:rFonts w:ascii="Verdana" w:hAnsi="Verdana"/>
              </w:rPr>
              <w:t xml:space="preserve"> </w:t>
            </w:r>
          </w:p>
        </w:tc>
        <w:tc>
          <w:tcPr>
            <w:tcW w:w="2370" w:type="dxa"/>
          </w:tcPr>
          <w:p w:rsidR="00590997" w:rsidRDefault="001B6013" w:rsidP="001B6013">
            <w:pPr>
              <w:rPr>
                <w:rFonts w:ascii="Verdana" w:hAnsi="Verdana"/>
              </w:rPr>
            </w:pPr>
            <w:r>
              <w:rPr>
                <w:rFonts w:ascii="Verdana" w:hAnsi="Verdana"/>
              </w:rPr>
              <w:t xml:space="preserve">EDX3280 </w:t>
            </w:r>
            <w:r w:rsidR="005709D1">
              <w:rPr>
                <w:rFonts w:ascii="Verdana" w:hAnsi="Verdana"/>
              </w:rPr>
              <w:t>WebQuest Assignment</w:t>
            </w:r>
          </w:p>
          <w:p w:rsidR="007F3F31" w:rsidRDefault="007F3F31" w:rsidP="001B6013">
            <w:pPr>
              <w:rPr>
                <w:rFonts w:ascii="Verdana" w:hAnsi="Verdana"/>
              </w:rPr>
            </w:pPr>
          </w:p>
          <w:p w:rsidR="007F3F31" w:rsidRDefault="007F3F31" w:rsidP="001B6013">
            <w:pPr>
              <w:rPr>
                <w:rFonts w:ascii="Verdana" w:hAnsi="Verdana"/>
              </w:rPr>
            </w:pPr>
          </w:p>
          <w:p w:rsidR="007F3F31" w:rsidRDefault="007F3F31" w:rsidP="001B6013">
            <w:pPr>
              <w:rPr>
                <w:rFonts w:ascii="Verdana" w:hAnsi="Verdana"/>
              </w:rPr>
            </w:pPr>
          </w:p>
          <w:p w:rsidR="007F3F31" w:rsidRDefault="007F3F31" w:rsidP="001B6013">
            <w:pPr>
              <w:rPr>
                <w:rFonts w:ascii="Verdana" w:hAnsi="Verdana"/>
              </w:rPr>
            </w:pPr>
          </w:p>
          <w:p w:rsidR="007F3F31" w:rsidRDefault="007F3F31" w:rsidP="001B6013">
            <w:pPr>
              <w:rPr>
                <w:rFonts w:ascii="Verdana" w:hAnsi="Verdana"/>
              </w:rPr>
            </w:pPr>
          </w:p>
        </w:tc>
      </w:tr>
      <w:tr w:rsidR="00590997">
        <w:tc>
          <w:tcPr>
            <w:tcW w:w="2734" w:type="dxa"/>
          </w:tcPr>
          <w:p w:rsidR="00590997" w:rsidRDefault="00590997" w:rsidP="001B6013">
            <w:pPr>
              <w:rPr>
                <w:rFonts w:ascii="Verdana" w:hAnsi="Verdana"/>
              </w:rPr>
            </w:pPr>
            <w:r>
              <w:rPr>
                <w:rFonts w:ascii="Verdana" w:hAnsi="Verdana"/>
              </w:rPr>
              <w:t>Standard 4 – Create and maintain supportive and safe learning environments.</w:t>
            </w:r>
          </w:p>
        </w:tc>
        <w:tc>
          <w:tcPr>
            <w:tcW w:w="1659" w:type="dxa"/>
          </w:tcPr>
          <w:p w:rsidR="00EE0FD3" w:rsidRDefault="00EE0FD3" w:rsidP="001B6013">
            <w:pPr>
              <w:rPr>
                <w:rFonts w:ascii="Verdana" w:hAnsi="Verdana"/>
              </w:rPr>
            </w:pPr>
            <w:r>
              <w:rPr>
                <w:rFonts w:ascii="Verdana" w:hAnsi="Verdana"/>
              </w:rPr>
              <w:t xml:space="preserve">4.1 Support student participation. </w:t>
            </w:r>
          </w:p>
          <w:p w:rsidR="00A73B3F" w:rsidRDefault="00A73B3F" w:rsidP="001B6013">
            <w:pPr>
              <w:rPr>
                <w:rFonts w:ascii="Verdana" w:hAnsi="Verdana"/>
              </w:rPr>
            </w:pPr>
          </w:p>
          <w:p w:rsidR="00056496" w:rsidRDefault="00C76BC8" w:rsidP="001B6013">
            <w:pPr>
              <w:rPr>
                <w:rFonts w:ascii="Verdana" w:hAnsi="Verdana"/>
              </w:rPr>
            </w:pPr>
            <w:r>
              <w:rPr>
                <w:rFonts w:ascii="Verdana" w:hAnsi="Verdana"/>
              </w:rPr>
              <w:t>4.3.</w:t>
            </w:r>
            <w:r w:rsidR="00EE0FD3">
              <w:rPr>
                <w:rFonts w:ascii="Verdana" w:hAnsi="Verdana"/>
              </w:rPr>
              <w:t xml:space="preserve"> Manage challenging behaviour.</w:t>
            </w:r>
            <w:r>
              <w:rPr>
                <w:rFonts w:ascii="Verdana" w:hAnsi="Verdana"/>
              </w:rPr>
              <w:t xml:space="preserve"> </w:t>
            </w:r>
          </w:p>
          <w:p w:rsidR="00590997" w:rsidRDefault="00590997" w:rsidP="00EE0FD3">
            <w:pPr>
              <w:rPr>
                <w:rFonts w:ascii="Verdana" w:hAnsi="Verdana"/>
              </w:rPr>
            </w:pPr>
          </w:p>
        </w:tc>
        <w:tc>
          <w:tcPr>
            <w:tcW w:w="3291" w:type="dxa"/>
          </w:tcPr>
          <w:p w:rsidR="00590997" w:rsidRDefault="00F10B6A" w:rsidP="00483091">
            <w:pPr>
              <w:rPr>
                <w:rFonts w:ascii="Verdana" w:hAnsi="Verdana"/>
              </w:rPr>
            </w:pPr>
            <w:r>
              <w:rPr>
                <w:rFonts w:ascii="Verdana" w:hAnsi="Verdana"/>
              </w:rPr>
              <w:t>These resources will support</w:t>
            </w:r>
            <w:r w:rsidR="00451613">
              <w:rPr>
                <w:rFonts w:ascii="Verdana" w:hAnsi="Verdana"/>
              </w:rPr>
              <w:t xml:space="preserve"> this standard by making obvious how I have managed challenging behaviour through </w:t>
            </w:r>
            <w:r w:rsidR="00483091">
              <w:rPr>
                <w:rFonts w:ascii="Verdana" w:hAnsi="Verdana"/>
              </w:rPr>
              <w:t>inclusive</w:t>
            </w:r>
            <w:r w:rsidR="00451613">
              <w:rPr>
                <w:rFonts w:ascii="Verdana" w:hAnsi="Verdana"/>
              </w:rPr>
              <w:t xml:space="preserve"> strategies</w:t>
            </w:r>
            <w:r w:rsidR="00483091">
              <w:rPr>
                <w:rFonts w:ascii="Verdana" w:hAnsi="Verdana"/>
              </w:rPr>
              <w:t>, which support student participation in the</w:t>
            </w:r>
            <w:r w:rsidR="00451613">
              <w:rPr>
                <w:rFonts w:ascii="Verdana" w:hAnsi="Verdana"/>
              </w:rPr>
              <w:t xml:space="preserve"> </w:t>
            </w:r>
            <w:r w:rsidR="00483091">
              <w:rPr>
                <w:rFonts w:ascii="Verdana" w:hAnsi="Verdana"/>
              </w:rPr>
              <w:t>classroom.</w:t>
            </w:r>
          </w:p>
        </w:tc>
        <w:tc>
          <w:tcPr>
            <w:tcW w:w="2370" w:type="dxa"/>
          </w:tcPr>
          <w:p w:rsidR="002B2E9B" w:rsidRDefault="002B2E9B" w:rsidP="001B6013">
            <w:pPr>
              <w:rPr>
                <w:rFonts w:ascii="Verdana" w:hAnsi="Verdana"/>
              </w:rPr>
            </w:pPr>
            <w:r>
              <w:rPr>
                <w:rFonts w:ascii="Verdana" w:hAnsi="Verdana"/>
              </w:rPr>
              <w:t>SPE3005 Assignment. Managing Challenging Behaviours</w:t>
            </w:r>
          </w:p>
          <w:p w:rsidR="00590997" w:rsidRDefault="002B2E9B" w:rsidP="001B6013">
            <w:pPr>
              <w:rPr>
                <w:rFonts w:ascii="Verdana" w:hAnsi="Verdana"/>
              </w:rPr>
            </w:pPr>
            <w:r>
              <w:rPr>
                <w:rFonts w:ascii="Verdana" w:hAnsi="Verdana"/>
              </w:rPr>
              <w:t>SPE3008 Assignment. Communication and Collaboration.</w:t>
            </w:r>
          </w:p>
        </w:tc>
      </w:tr>
      <w:tr w:rsidR="00590997">
        <w:tc>
          <w:tcPr>
            <w:tcW w:w="2734" w:type="dxa"/>
          </w:tcPr>
          <w:p w:rsidR="00590997" w:rsidRDefault="00590997" w:rsidP="001B6013">
            <w:pPr>
              <w:rPr>
                <w:rFonts w:ascii="Verdana" w:hAnsi="Verdana"/>
              </w:rPr>
            </w:pPr>
            <w:r>
              <w:rPr>
                <w:rFonts w:ascii="Verdana" w:hAnsi="Verdana"/>
              </w:rPr>
              <w:t>Standard 5 – Assess, provide feedback and report on student learning.</w:t>
            </w:r>
          </w:p>
        </w:tc>
        <w:tc>
          <w:tcPr>
            <w:tcW w:w="1659" w:type="dxa"/>
          </w:tcPr>
          <w:p w:rsidR="00186907" w:rsidRDefault="00186907" w:rsidP="001B6013">
            <w:pPr>
              <w:rPr>
                <w:rFonts w:ascii="Verdana" w:hAnsi="Verdana"/>
              </w:rPr>
            </w:pPr>
            <w:r>
              <w:rPr>
                <w:rFonts w:ascii="Verdana" w:hAnsi="Verdana"/>
              </w:rPr>
              <w:t>5.1 Assess student learning.</w:t>
            </w:r>
          </w:p>
          <w:p w:rsidR="00A73B3F" w:rsidRDefault="00A73B3F" w:rsidP="00BE107B">
            <w:pPr>
              <w:rPr>
                <w:rFonts w:ascii="Verdana" w:hAnsi="Verdana"/>
              </w:rPr>
            </w:pPr>
          </w:p>
          <w:p w:rsidR="00590997" w:rsidRDefault="00186907" w:rsidP="00BE107B">
            <w:pPr>
              <w:rPr>
                <w:rFonts w:ascii="Verdana" w:hAnsi="Verdana"/>
              </w:rPr>
            </w:pPr>
            <w:r>
              <w:rPr>
                <w:rFonts w:ascii="Verdana" w:hAnsi="Verdana"/>
              </w:rPr>
              <w:t xml:space="preserve">5.2 </w:t>
            </w:r>
            <w:r w:rsidR="00BE107B">
              <w:rPr>
                <w:rFonts w:ascii="Verdana" w:hAnsi="Verdana"/>
              </w:rPr>
              <w:t>Provide feedback to students on their learning.</w:t>
            </w:r>
          </w:p>
        </w:tc>
        <w:tc>
          <w:tcPr>
            <w:tcW w:w="3291" w:type="dxa"/>
          </w:tcPr>
          <w:p w:rsidR="00590997" w:rsidRDefault="00483091" w:rsidP="001B6013">
            <w:pPr>
              <w:rPr>
                <w:rFonts w:ascii="Verdana" w:hAnsi="Verdana"/>
              </w:rPr>
            </w:pPr>
            <w:r>
              <w:rPr>
                <w:rFonts w:ascii="Verdana" w:hAnsi="Verdana"/>
              </w:rPr>
              <w:t>These resources demonstrate my knowledge of</w:t>
            </w:r>
            <w:r w:rsidR="00BE107B">
              <w:rPr>
                <w:rFonts w:ascii="Verdana" w:hAnsi="Verdana"/>
              </w:rPr>
              <w:t xml:space="preserve"> assessment strategies and my understanding of the purpose of timely feedback to students about their learning. </w:t>
            </w:r>
            <w:r>
              <w:rPr>
                <w:rFonts w:ascii="Verdana" w:hAnsi="Verdana"/>
              </w:rPr>
              <w:t xml:space="preserve"> </w:t>
            </w:r>
          </w:p>
        </w:tc>
        <w:tc>
          <w:tcPr>
            <w:tcW w:w="2370" w:type="dxa"/>
          </w:tcPr>
          <w:p w:rsidR="005E3796" w:rsidRDefault="00C76BC8" w:rsidP="001B6013">
            <w:pPr>
              <w:rPr>
                <w:rFonts w:ascii="Verdana" w:hAnsi="Verdana"/>
              </w:rPr>
            </w:pPr>
            <w:r>
              <w:rPr>
                <w:rFonts w:ascii="Verdana" w:hAnsi="Verdana"/>
              </w:rPr>
              <w:t>EDC2300 Assessment and Reporting Assignment.</w:t>
            </w:r>
          </w:p>
          <w:p w:rsidR="005E3796" w:rsidRDefault="005E3796" w:rsidP="001B6013">
            <w:pPr>
              <w:rPr>
                <w:rFonts w:ascii="Verdana" w:hAnsi="Verdana"/>
              </w:rPr>
            </w:pPr>
          </w:p>
          <w:p w:rsidR="005E3796" w:rsidRDefault="005E3796" w:rsidP="005E3796">
            <w:pPr>
              <w:rPr>
                <w:rFonts w:ascii="Verdana" w:hAnsi="Verdana"/>
              </w:rPr>
            </w:pPr>
            <w:r>
              <w:rPr>
                <w:rFonts w:ascii="Verdana" w:hAnsi="Verdana"/>
              </w:rPr>
              <w:t>EDC2300 Assessment and Reporting Assignment.</w:t>
            </w:r>
          </w:p>
          <w:p w:rsidR="00590997" w:rsidRDefault="00590997" w:rsidP="001B6013">
            <w:pPr>
              <w:rPr>
                <w:rFonts w:ascii="Verdana" w:hAnsi="Verdana"/>
              </w:rPr>
            </w:pPr>
          </w:p>
        </w:tc>
      </w:tr>
      <w:tr w:rsidR="00590997">
        <w:tc>
          <w:tcPr>
            <w:tcW w:w="10054" w:type="dxa"/>
            <w:gridSpan w:val="4"/>
            <w:shd w:val="clear" w:color="auto" w:fill="8DB3E2" w:themeFill="text2" w:themeFillTint="66"/>
          </w:tcPr>
          <w:p w:rsidR="00590997" w:rsidRDefault="00590997" w:rsidP="001B6013">
            <w:pPr>
              <w:rPr>
                <w:rFonts w:ascii="Verdana" w:hAnsi="Verdana"/>
              </w:rPr>
            </w:pPr>
            <w:r>
              <w:rPr>
                <w:rFonts w:ascii="Verdana" w:hAnsi="Verdana"/>
              </w:rPr>
              <w:t>Professional Engagement Domain</w:t>
            </w:r>
          </w:p>
        </w:tc>
      </w:tr>
      <w:tr w:rsidR="00590997">
        <w:tc>
          <w:tcPr>
            <w:tcW w:w="2734" w:type="dxa"/>
            <w:shd w:val="clear" w:color="auto" w:fill="B8CCE4" w:themeFill="accent1" w:themeFillTint="66"/>
          </w:tcPr>
          <w:p w:rsidR="00590997" w:rsidRDefault="00590997" w:rsidP="001B6013">
            <w:pPr>
              <w:rPr>
                <w:rFonts w:ascii="Verdana" w:hAnsi="Verdana"/>
              </w:rPr>
            </w:pPr>
            <w:r>
              <w:rPr>
                <w:rFonts w:ascii="Verdana" w:hAnsi="Verdana"/>
              </w:rPr>
              <w:t>Standard</w:t>
            </w:r>
          </w:p>
        </w:tc>
        <w:tc>
          <w:tcPr>
            <w:tcW w:w="1659" w:type="dxa"/>
            <w:shd w:val="clear" w:color="auto" w:fill="B8CCE4" w:themeFill="accent1" w:themeFillTint="66"/>
          </w:tcPr>
          <w:p w:rsidR="00590997" w:rsidRDefault="00590997" w:rsidP="001B6013">
            <w:pPr>
              <w:rPr>
                <w:rFonts w:ascii="Verdana" w:hAnsi="Verdana"/>
              </w:rPr>
            </w:pPr>
            <w:r>
              <w:rPr>
                <w:rFonts w:ascii="Verdana" w:hAnsi="Verdana"/>
              </w:rPr>
              <w:t>Focus Areas being addressed</w:t>
            </w:r>
          </w:p>
        </w:tc>
        <w:tc>
          <w:tcPr>
            <w:tcW w:w="3291" w:type="dxa"/>
            <w:shd w:val="clear" w:color="auto" w:fill="B8CCE4" w:themeFill="accent1" w:themeFillTint="66"/>
          </w:tcPr>
          <w:p w:rsidR="00590997" w:rsidRDefault="00590997" w:rsidP="001B6013">
            <w:pPr>
              <w:rPr>
                <w:rFonts w:ascii="Verdana" w:hAnsi="Verdana"/>
              </w:rPr>
            </w:pPr>
            <w:r>
              <w:rPr>
                <w:rFonts w:ascii="Verdana" w:hAnsi="Verdana"/>
              </w:rPr>
              <w:t>Brief description of example (Maximum 50 words)</w:t>
            </w:r>
          </w:p>
        </w:tc>
        <w:tc>
          <w:tcPr>
            <w:tcW w:w="2370" w:type="dxa"/>
            <w:shd w:val="clear" w:color="auto" w:fill="B8CCE4" w:themeFill="accent1" w:themeFillTint="66"/>
          </w:tcPr>
          <w:p w:rsidR="00590997" w:rsidRDefault="00590997" w:rsidP="001B6013">
            <w:pPr>
              <w:rPr>
                <w:rFonts w:ascii="Verdana" w:hAnsi="Verdana"/>
              </w:rPr>
            </w:pPr>
            <w:r>
              <w:rPr>
                <w:rFonts w:ascii="Verdana" w:hAnsi="Verdana"/>
              </w:rPr>
              <w:t>Artefacts to be used</w:t>
            </w:r>
          </w:p>
        </w:tc>
      </w:tr>
      <w:tr w:rsidR="00590997">
        <w:tc>
          <w:tcPr>
            <w:tcW w:w="2734" w:type="dxa"/>
          </w:tcPr>
          <w:p w:rsidR="00590997" w:rsidRDefault="00590997" w:rsidP="001B6013">
            <w:pPr>
              <w:rPr>
                <w:rFonts w:ascii="Verdana" w:hAnsi="Verdana"/>
              </w:rPr>
            </w:pPr>
            <w:r>
              <w:rPr>
                <w:rFonts w:ascii="Verdana" w:hAnsi="Verdana"/>
              </w:rPr>
              <w:t>Standard 6 – Engage in professional learning.</w:t>
            </w:r>
          </w:p>
        </w:tc>
        <w:tc>
          <w:tcPr>
            <w:tcW w:w="1659" w:type="dxa"/>
          </w:tcPr>
          <w:p w:rsidR="00A73B3F" w:rsidRDefault="004C06C8" w:rsidP="00A73B3F">
            <w:pPr>
              <w:rPr>
                <w:rFonts w:ascii="Verdana" w:hAnsi="Verdana"/>
              </w:rPr>
            </w:pPr>
            <w:r>
              <w:rPr>
                <w:rFonts w:ascii="Verdana" w:hAnsi="Verdana"/>
              </w:rPr>
              <w:t xml:space="preserve">6.3 </w:t>
            </w:r>
            <w:r w:rsidR="00A73B3F">
              <w:rPr>
                <w:rFonts w:ascii="Verdana" w:hAnsi="Verdana"/>
              </w:rPr>
              <w:t>Engage with colleagues and improve practice.</w:t>
            </w:r>
          </w:p>
          <w:p w:rsidR="00590997" w:rsidRDefault="00A73B3F" w:rsidP="005A26FD">
            <w:pPr>
              <w:rPr>
                <w:rFonts w:ascii="Verdana" w:hAnsi="Verdana"/>
              </w:rPr>
            </w:pPr>
            <w:r>
              <w:rPr>
                <w:rFonts w:ascii="Verdana" w:hAnsi="Verdana"/>
              </w:rPr>
              <w:t>6.</w:t>
            </w:r>
            <w:r w:rsidR="005A26FD">
              <w:rPr>
                <w:rFonts w:ascii="Verdana" w:hAnsi="Verdana"/>
              </w:rPr>
              <w:t>2 Engage in professional learning and improve practice</w:t>
            </w:r>
          </w:p>
        </w:tc>
        <w:tc>
          <w:tcPr>
            <w:tcW w:w="3291" w:type="dxa"/>
          </w:tcPr>
          <w:p w:rsidR="00590997" w:rsidRDefault="00CC1BD8" w:rsidP="001B6013">
            <w:pPr>
              <w:rPr>
                <w:rFonts w:ascii="Verdana" w:hAnsi="Verdana"/>
              </w:rPr>
            </w:pPr>
            <w:r>
              <w:rPr>
                <w:rFonts w:ascii="Verdana" w:hAnsi="Verdana"/>
              </w:rPr>
              <w:t xml:space="preserve">These </w:t>
            </w:r>
            <w:r w:rsidR="00D43610">
              <w:rPr>
                <w:rFonts w:ascii="Verdana" w:hAnsi="Verdana"/>
              </w:rPr>
              <w:t>artefacts</w:t>
            </w:r>
            <w:r>
              <w:rPr>
                <w:rFonts w:ascii="Verdana" w:hAnsi="Verdana"/>
              </w:rPr>
              <w:t xml:space="preserve"> will demonstrate how I engaged with colleagues to </w:t>
            </w:r>
            <w:r w:rsidR="00D43610">
              <w:rPr>
                <w:rFonts w:ascii="Verdana" w:hAnsi="Verdana"/>
              </w:rPr>
              <w:t>seek and apply their feedback to inform my professional practice</w:t>
            </w:r>
            <w:r w:rsidR="005A26FD">
              <w:rPr>
                <w:rFonts w:ascii="Verdana" w:hAnsi="Verdana"/>
              </w:rPr>
              <w:t xml:space="preserve"> and how I engaged in processional learning to improve my practice</w:t>
            </w:r>
            <w:r w:rsidR="00D43610">
              <w:rPr>
                <w:rFonts w:ascii="Verdana" w:hAnsi="Verdana"/>
              </w:rPr>
              <w:t xml:space="preserve">. </w:t>
            </w:r>
          </w:p>
        </w:tc>
        <w:tc>
          <w:tcPr>
            <w:tcW w:w="2370" w:type="dxa"/>
          </w:tcPr>
          <w:p w:rsidR="00590997" w:rsidRDefault="00655BC0" w:rsidP="001B6013">
            <w:pPr>
              <w:rPr>
                <w:rFonts w:ascii="Verdana" w:hAnsi="Verdana"/>
              </w:rPr>
            </w:pPr>
            <w:r>
              <w:rPr>
                <w:rFonts w:ascii="Verdana" w:hAnsi="Verdana"/>
              </w:rPr>
              <w:t xml:space="preserve">Semester 2, 2014 </w:t>
            </w:r>
            <w:r w:rsidR="004C06C8">
              <w:rPr>
                <w:rFonts w:ascii="Verdana" w:hAnsi="Verdana"/>
              </w:rPr>
              <w:t>Practicum Placement feedback.</w:t>
            </w:r>
          </w:p>
          <w:p w:rsidR="005A26FD" w:rsidRDefault="005A26FD" w:rsidP="001B6013">
            <w:pPr>
              <w:rPr>
                <w:rFonts w:ascii="Verdana" w:hAnsi="Verdana"/>
              </w:rPr>
            </w:pPr>
          </w:p>
          <w:p w:rsidR="005A26FD" w:rsidRDefault="005A26FD" w:rsidP="001B6013">
            <w:pPr>
              <w:rPr>
                <w:rFonts w:ascii="Verdana" w:hAnsi="Verdana"/>
              </w:rPr>
            </w:pPr>
            <w:r>
              <w:rPr>
                <w:rFonts w:ascii="Verdana" w:hAnsi="Verdana"/>
              </w:rPr>
              <w:t>Cyber Safety PD and Student protection PD.</w:t>
            </w:r>
          </w:p>
        </w:tc>
      </w:tr>
      <w:tr w:rsidR="00590997">
        <w:tc>
          <w:tcPr>
            <w:tcW w:w="2734" w:type="dxa"/>
          </w:tcPr>
          <w:p w:rsidR="00590997" w:rsidRDefault="00590997" w:rsidP="001B6013">
            <w:pPr>
              <w:rPr>
                <w:rFonts w:ascii="Verdana" w:hAnsi="Verdana"/>
              </w:rPr>
            </w:pPr>
            <w:r>
              <w:rPr>
                <w:rFonts w:ascii="Verdana" w:hAnsi="Verdana"/>
              </w:rPr>
              <w:t>Standard 7 – Engage professionally with colleagues, parents/carers and the community.</w:t>
            </w:r>
          </w:p>
        </w:tc>
        <w:tc>
          <w:tcPr>
            <w:tcW w:w="1659" w:type="dxa"/>
          </w:tcPr>
          <w:p w:rsidR="00CC1BD8" w:rsidRDefault="00CC1BD8" w:rsidP="001B6013">
            <w:pPr>
              <w:rPr>
                <w:rFonts w:ascii="Verdana" w:hAnsi="Verdana"/>
              </w:rPr>
            </w:pPr>
            <w:r>
              <w:rPr>
                <w:rFonts w:ascii="Verdana" w:hAnsi="Verdana"/>
              </w:rPr>
              <w:t>7.1 Meet professional ethics and responsibilities.</w:t>
            </w:r>
          </w:p>
          <w:p w:rsidR="00CC1BD8" w:rsidRDefault="00CC1BD8" w:rsidP="001B6013">
            <w:pPr>
              <w:rPr>
                <w:rFonts w:ascii="Verdana" w:hAnsi="Verdana"/>
              </w:rPr>
            </w:pPr>
          </w:p>
          <w:p w:rsidR="00590997" w:rsidRDefault="0058316A" w:rsidP="001B6013">
            <w:pPr>
              <w:rPr>
                <w:rFonts w:ascii="Verdana" w:hAnsi="Verdana"/>
              </w:rPr>
            </w:pPr>
            <w:r>
              <w:rPr>
                <w:rFonts w:ascii="Verdana" w:hAnsi="Verdana"/>
              </w:rPr>
              <w:t>7.</w:t>
            </w:r>
            <w:r w:rsidR="00197C99">
              <w:rPr>
                <w:rFonts w:ascii="Verdana" w:hAnsi="Verdana"/>
              </w:rPr>
              <w:t>3 Engage with the parents/ carers.</w:t>
            </w:r>
          </w:p>
        </w:tc>
        <w:tc>
          <w:tcPr>
            <w:tcW w:w="3291" w:type="dxa"/>
          </w:tcPr>
          <w:p w:rsidR="00590997" w:rsidRDefault="004534F5" w:rsidP="001B6013">
            <w:pPr>
              <w:rPr>
                <w:rFonts w:ascii="Verdana" w:hAnsi="Verdana"/>
              </w:rPr>
            </w:pPr>
            <w:r>
              <w:rPr>
                <w:rFonts w:ascii="Verdana" w:hAnsi="Verdana"/>
              </w:rPr>
              <w:t>These artefacts will demonstrate my understanding of the key principles described in code of ethics and conduct for the teaching profession and the strategies for working effectively, sensitively and confidentially with parents/carers.</w:t>
            </w:r>
          </w:p>
        </w:tc>
        <w:tc>
          <w:tcPr>
            <w:tcW w:w="2370" w:type="dxa"/>
          </w:tcPr>
          <w:p w:rsidR="00CC1BD8" w:rsidRDefault="00CC1BD8" w:rsidP="001B6013">
            <w:pPr>
              <w:rPr>
                <w:rFonts w:ascii="Verdana" w:hAnsi="Verdana"/>
              </w:rPr>
            </w:pPr>
            <w:r>
              <w:rPr>
                <w:rFonts w:ascii="Verdana" w:hAnsi="Verdana"/>
              </w:rPr>
              <w:t>SPE3008 Assignment</w:t>
            </w:r>
          </w:p>
          <w:p w:rsidR="00CC1BD8" w:rsidRDefault="00CC1BD8" w:rsidP="001B6013">
            <w:pPr>
              <w:rPr>
                <w:rFonts w:ascii="Verdana" w:hAnsi="Verdana"/>
              </w:rPr>
            </w:pPr>
          </w:p>
          <w:p w:rsidR="00CC1BD8" w:rsidRDefault="00CC1BD8" w:rsidP="001B6013">
            <w:pPr>
              <w:rPr>
                <w:rFonts w:ascii="Verdana" w:hAnsi="Verdana"/>
              </w:rPr>
            </w:pPr>
          </w:p>
          <w:p w:rsidR="00CC1BD8" w:rsidRDefault="00CC1BD8" w:rsidP="001B6013">
            <w:pPr>
              <w:rPr>
                <w:rFonts w:ascii="Verdana" w:hAnsi="Verdana"/>
              </w:rPr>
            </w:pPr>
          </w:p>
          <w:p w:rsidR="00590997" w:rsidRDefault="00197C99" w:rsidP="001B6013">
            <w:pPr>
              <w:rPr>
                <w:rFonts w:ascii="Verdana" w:hAnsi="Verdana"/>
              </w:rPr>
            </w:pPr>
            <w:r>
              <w:rPr>
                <w:rFonts w:ascii="Verdana" w:hAnsi="Verdana"/>
              </w:rPr>
              <w:t>SPE3008 Assignment.</w:t>
            </w:r>
          </w:p>
        </w:tc>
      </w:tr>
    </w:tbl>
    <w:p w:rsidR="00590997" w:rsidRDefault="00590997" w:rsidP="00590997">
      <w:pPr>
        <w:sectPr w:rsidR="00590997">
          <w:pgSz w:w="11906" w:h="16838"/>
          <w:pgMar w:top="426" w:right="1133" w:bottom="426" w:left="709" w:header="708" w:footer="708" w:gutter="0"/>
          <w:cols w:space="708"/>
          <w:docGrid w:linePitch="360"/>
        </w:sectPr>
      </w:pPr>
    </w:p>
    <w:p w:rsidR="007822C5" w:rsidRPr="00854CF3" w:rsidRDefault="007822C5">
      <w:pPr>
        <w:rPr>
          <w:rFonts w:ascii="Verdana" w:hAnsi="Verdana"/>
        </w:rPr>
      </w:pPr>
    </w:p>
    <w:sectPr w:rsidR="007822C5" w:rsidRPr="00854CF3" w:rsidSect="00AC6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590997"/>
    <w:rsid w:val="00056496"/>
    <w:rsid w:val="00080772"/>
    <w:rsid w:val="000D428A"/>
    <w:rsid w:val="00133E0B"/>
    <w:rsid w:val="00157969"/>
    <w:rsid w:val="00163615"/>
    <w:rsid w:val="00186907"/>
    <w:rsid w:val="00197C99"/>
    <w:rsid w:val="001B6013"/>
    <w:rsid w:val="0022331C"/>
    <w:rsid w:val="0028356F"/>
    <w:rsid w:val="002B2E9B"/>
    <w:rsid w:val="0033443B"/>
    <w:rsid w:val="00364558"/>
    <w:rsid w:val="00451613"/>
    <w:rsid w:val="004534F5"/>
    <w:rsid w:val="00483091"/>
    <w:rsid w:val="004C06C8"/>
    <w:rsid w:val="005709D1"/>
    <w:rsid w:val="0058316A"/>
    <w:rsid w:val="00590997"/>
    <w:rsid w:val="005A26FD"/>
    <w:rsid w:val="005D57DC"/>
    <w:rsid w:val="005E3796"/>
    <w:rsid w:val="00655BC0"/>
    <w:rsid w:val="006A1400"/>
    <w:rsid w:val="006F2145"/>
    <w:rsid w:val="0072241B"/>
    <w:rsid w:val="007822C5"/>
    <w:rsid w:val="007F3F31"/>
    <w:rsid w:val="00806FE7"/>
    <w:rsid w:val="00854CF3"/>
    <w:rsid w:val="00884EC5"/>
    <w:rsid w:val="008E0EFE"/>
    <w:rsid w:val="00A73B3F"/>
    <w:rsid w:val="00AC6D0A"/>
    <w:rsid w:val="00BE107B"/>
    <w:rsid w:val="00C76BC8"/>
    <w:rsid w:val="00CC1BD8"/>
    <w:rsid w:val="00D43610"/>
    <w:rsid w:val="00DD3BA9"/>
    <w:rsid w:val="00E245A4"/>
    <w:rsid w:val="00E56113"/>
    <w:rsid w:val="00E875B8"/>
    <w:rsid w:val="00EB778C"/>
    <w:rsid w:val="00EE0FD3"/>
    <w:rsid w:val="00EF5477"/>
    <w:rsid w:val="00F10B6A"/>
    <w:rsid w:val="00F66E1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1DCDD-8B24-4BBE-8C5F-B6629463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97"/>
  </w:style>
  <w:style w:type="paragraph" w:styleId="Heading1">
    <w:name w:val="heading 1"/>
    <w:basedOn w:val="Normal"/>
    <w:next w:val="Normal"/>
    <w:link w:val="Heading1Char"/>
    <w:uiPriority w:val="9"/>
    <w:qFormat/>
    <w:rsid w:val="00590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99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909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9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9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Fogarty</dc:creator>
  <cp:keywords/>
  <dc:description/>
  <cp:lastModifiedBy>Steve Gerrard. Druery</cp:lastModifiedBy>
  <cp:revision>9</cp:revision>
  <dcterms:created xsi:type="dcterms:W3CDTF">2015-08-10T04:36:00Z</dcterms:created>
  <dcterms:modified xsi:type="dcterms:W3CDTF">2015-08-14T02:39:00Z</dcterms:modified>
</cp:coreProperties>
</file>